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31" w:rsidRPr="00610931" w:rsidRDefault="00610931" w:rsidP="00610931">
      <w:pPr>
        <w:spacing w:after="120" w:line="240" w:lineRule="auto"/>
        <w:jc w:val="both"/>
        <w:rPr>
          <w:rFonts w:ascii="Times New Roman" w:eastAsia="SimSun" w:hAnsi="Times New Roman" w:cs="Times New Roman"/>
          <w:b/>
          <w:sz w:val="24"/>
          <w:szCs w:val="28"/>
          <w:lang w:eastAsia="zh-CN"/>
        </w:rPr>
      </w:pPr>
      <w:r w:rsidRPr="00610931">
        <w:rPr>
          <w:rFonts w:ascii="Times New Roman" w:eastAsia="SimSun" w:hAnsi="Times New Roman" w:cs="Times New Roman"/>
          <w:b/>
          <w:sz w:val="24"/>
          <w:szCs w:val="28"/>
          <w:lang w:eastAsia="zh-CN"/>
        </w:rPr>
        <w:t>CAPÍTULO XII: NOTIFICACIONES EN EL EXTRANJERO</w:t>
      </w:r>
    </w:p>
    <w:p w:rsidR="00610931" w:rsidRPr="00610931" w:rsidRDefault="00610931" w:rsidP="00610931">
      <w:pPr>
        <w:spacing w:after="0" w:line="240" w:lineRule="auto"/>
        <w:jc w:val="both"/>
        <w:rPr>
          <w:rFonts w:ascii="Times New Roman" w:eastAsia="Times New Roman" w:hAnsi="Times New Roman" w:cs="Times New Roman"/>
          <w:sz w:val="24"/>
          <w:szCs w:val="28"/>
          <w:lang w:val="es-ES_tradnl" w:eastAsia="es-ES"/>
        </w:rPr>
      </w:pPr>
      <w:r w:rsidRPr="00610931">
        <w:rPr>
          <w:rFonts w:ascii="Times New Roman" w:eastAsia="Times New Roman" w:hAnsi="Times New Roman" w:cs="Times New Roman"/>
          <w:sz w:val="24"/>
          <w:szCs w:val="28"/>
          <w:lang w:val="es-ES_tradnl" w:eastAsia="es-ES"/>
        </w:rPr>
        <w:t xml:space="preserve">Es cada vez más frecuente que en los procedimientos notariales las notificaciones de cualesquiera documentos hayan de practicarse en el extranjero. En su día y en relación un nombramiento notarial de contador-partidor conforme al Derecho gallego,  la </w:t>
      </w:r>
      <w:hyperlink r:id="rId7" w:history="1">
        <w:r w:rsidRPr="00610931">
          <w:rPr>
            <w:rFonts w:ascii="Times New Roman" w:eastAsia="Times New Roman" w:hAnsi="Times New Roman" w:cs="Times New Roman"/>
            <w:color w:val="0000FF"/>
            <w:sz w:val="24"/>
            <w:szCs w:val="28"/>
            <w:u w:val="single"/>
            <w:lang w:val="es-ES_tradnl" w:eastAsia="es-ES"/>
          </w:rPr>
          <w:t>Resolución DGRN de 27 de febrero de 2012</w:t>
        </w:r>
      </w:hyperlink>
      <w:r w:rsidRPr="00610931">
        <w:rPr>
          <w:rFonts w:ascii="Times New Roman" w:eastAsia="Times New Roman" w:hAnsi="Times New Roman" w:cs="Times New Roman"/>
          <w:sz w:val="24"/>
          <w:szCs w:val="28"/>
          <w:lang w:val="es-ES_tradnl" w:eastAsia="es-ES"/>
        </w:rPr>
        <w:t xml:space="preserve"> rechazó que las notificaciones al extranjero pudieran hacerse por el Notario mediante correo certificado</w:t>
      </w:r>
      <w:r w:rsidRPr="00610931">
        <w:rPr>
          <w:rFonts w:ascii="Times New Roman" w:eastAsia="Times New Roman" w:hAnsi="Times New Roman" w:cs="Times New Roman"/>
          <w:b/>
          <w:sz w:val="24"/>
          <w:szCs w:val="28"/>
          <w:vertAlign w:val="superscript"/>
          <w:lang w:val="es-ES_tradnl" w:eastAsia="es-ES"/>
        </w:rPr>
        <w:footnoteReference w:id="1"/>
      </w:r>
      <w:r w:rsidRPr="00610931">
        <w:rPr>
          <w:rFonts w:ascii="Times New Roman" w:eastAsia="Times New Roman" w:hAnsi="Times New Roman" w:cs="Times New Roman"/>
          <w:sz w:val="24"/>
          <w:szCs w:val="28"/>
          <w:lang w:val="es-ES_tradnl" w:eastAsia="es-ES"/>
        </w:rPr>
        <w:t>.</w:t>
      </w:r>
    </w:p>
    <w:p w:rsidR="00610931" w:rsidRPr="00610931" w:rsidRDefault="00610931" w:rsidP="00610931">
      <w:pPr>
        <w:spacing w:after="0" w:line="240" w:lineRule="auto"/>
        <w:jc w:val="both"/>
        <w:rPr>
          <w:rFonts w:ascii="Times New Roman" w:eastAsia="Times New Roman" w:hAnsi="Times New Roman" w:cs="Times New Roman"/>
          <w:sz w:val="24"/>
          <w:szCs w:val="28"/>
          <w:lang w:eastAsia="es-ES"/>
        </w:rPr>
      </w:pPr>
      <w:r w:rsidRPr="00610931">
        <w:rPr>
          <w:rFonts w:ascii="Times New Roman" w:eastAsia="Times New Roman" w:hAnsi="Times New Roman" w:cs="Times New Roman"/>
          <w:sz w:val="24"/>
          <w:szCs w:val="28"/>
          <w:lang w:val="es-ES_tradnl" w:eastAsia="es-ES"/>
        </w:rPr>
        <w:t xml:space="preserve">Sin embargo, como dice </w:t>
      </w:r>
      <w:hyperlink r:id="rId8" w:history="1">
        <w:r w:rsidRPr="00610931">
          <w:rPr>
            <w:rFonts w:ascii="Times New Roman" w:eastAsia="Times New Roman" w:hAnsi="Times New Roman" w:cs="Times New Roman"/>
            <w:color w:val="0000FF"/>
            <w:sz w:val="24"/>
            <w:szCs w:val="28"/>
            <w:u w:val="single"/>
            <w:lang w:val="es-ES_tradnl" w:eastAsia="es-ES"/>
          </w:rPr>
          <w:t>Ana FERNÁNDEZ-TRESGUERRES</w:t>
        </w:r>
      </w:hyperlink>
      <w:r w:rsidRPr="00610931">
        <w:rPr>
          <w:rFonts w:ascii="Times New Roman" w:eastAsia="Times New Roman" w:hAnsi="Times New Roman" w:cs="Times New Roman"/>
          <w:b/>
          <w:sz w:val="24"/>
          <w:szCs w:val="28"/>
          <w:vertAlign w:val="superscript"/>
          <w:lang w:val="es-ES_tradnl" w:eastAsia="es-ES"/>
        </w:rPr>
        <w:footnoteReference w:id="2"/>
      </w:r>
      <w:r w:rsidRPr="00610931">
        <w:rPr>
          <w:rFonts w:ascii="Times New Roman" w:eastAsia="Times New Roman" w:hAnsi="Times New Roman" w:cs="Times New Roman"/>
          <w:sz w:val="24"/>
          <w:szCs w:val="28"/>
          <w:lang w:val="es-ES_tradnl" w:eastAsia="es-ES"/>
        </w:rPr>
        <w:t xml:space="preserve"> se hace preciso revisar la doctrina de dicha Resolución pues en la actualidad, en función del Estado de destino habrá que aplicar alguno de los siguientes instrumentos normativos (Reglamentos europeos, Convenio de la Haya de 1965 y Ley de Cooperación Jurídica de 2015), cuya </w:t>
      </w:r>
      <w:r w:rsidRPr="00610931">
        <w:rPr>
          <w:rFonts w:ascii="Times New Roman" w:eastAsia="Times New Roman" w:hAnsi="Times New Roman" w:cs="Times New Roman"/>
          <w:sz w:val="24"/>
          <w:szCs w:val="28"/>
          <w:lang w:eastAsia="es-ES"/>
        </w:rPr>
        <w:t xml:space="preserve">concurrencia deberá resolverse conforme a las reglas de relación que contenga cada texto y los principios generales aplicables, y sin perjuicio de la eventual existencia de un </w:t>
      </w:r>
      <w:r w:rsidRPr="00610931">
        <w:rPr>
          <w:rFonts w:ascii="Times New Roman" w:eastAsia="Times New Roman" w:hAnsi="Times New Roman" w:cs="Times New Roman"/>
          <w:bCs/>
          <w:sz w:val="24"/>
          <w:szCs w:val="28"/>
          <w:lang w:eastAsia="es-ES"/>
        </w:rPr>
        <w:t>convenio bilateral</w:t>
      </w:r>
      <w:r w:rsidRPr="00610931">
        <w:rPr>
          <w:rFonts w:ascii="Times New Roman" w:eastAsia="Times New Roman" w:hAnsi="Times New Roman" w:cs="Times New Roman"/>
          <w:sz w:val="24"/>
          <w:szCs w:val="28"/>
          <w:lang w:eastAsia="es-ES"/>
        </w:rPr>
        <w:t xml:space="preserve"> entre España y el Estado correspondiente, como sucede con </w:t>
      </w:r>
      <w:hyperlink r:id="rId9" w:history="1">
        <w:r w:rsidRPr="00610931">
          <w:rPr>
            <w:rFonts w:ascii="Times New Roman" w:eastAsia="Times New Roman" w:hAnsi="Times New Roman" w:cs="Times New Roman"/>
            <w:color w:val="0000FF"/>
            <w:sz w:val="24"/>
            <w:szCs w:val="28"/>
            <w:u w:val="single"/>
            <w:lang w:eastAsia="es-ES"/>
          </w:rPr>
          <w:t>Brasil</w:t>
        </w:r>
      </w:hyperlink>
      <w:r w:rsidRPr="00610931">
        <w:rPr>
          <w:rFonts w:ascii="Times New Roman" w:eastAsia="Times New Roman" w:hAnsi="Times New Roman" w:cs="Times New Roman"/>
          <w:sz w:val="24"/>
          <w:szCs w:val="28"/>
          <w:lang w:eastAsia="es-ES"/>
        </w:rPr>
        <w:t xml:space="preserve">, </w:t>
      </w:r>
      <w:hyperlink r:id="rId10" w:history="1">
        <w:r w:rsidRPr="00610931">
          <w:rPr>
            <w:rFonts w:ascii="Times New Roman" w:eastAsia="Times New Roman" w:hAnsi="Times New Roman" w:cs="Times New Roman"/>
            <w:color w:val="0000FF"/>
            <w:sz w:val="24"/>
            <w:szCs w:val="28"/>
            <w:u w:val="single"/>
            <w:lang w:eastAsia="es-ES"/>
          </w:rPr>
          <w:t>China</w:t>
        </w:r>
      </w:hyperlink>
      <w:r w:rsidRPr="00610931">
        <w:rPr>
          <w:rFonts w:ascii="Times New Roman" w:eastAsia="Times New Roman" w:hAnsi="Times New Roman" w:cs="Times New Roman"/>
          <w:sz w:val="24"/>
          <w:szCs w:val="28"/>
          <w:lang w:eastAsia="es-ES"/>
        </w:rPr>
        <w:t xml:space="preserve"> o el </w:t>
      </w:r>
      <w:hyperlink r:id="rId11" w:anchor=":~:text=Convenio%20relativo%20a%20la%20mutua,27%20de%20junio%20de%201929&amp;text=Pa%C3%ADses%3ACanad%C3%A1%2C%20Chipre%2C%20Dominica,Fiji%2C%20Lesotho%2C%20Reino%20Unido." w:history="1">
        <w:r w:rsidRPr="00610931">
          <w:rPr>
            <w:rFonts w:ascii="Times New Roman" w:eastAsia="Times New Roman" w:hAnsi="Times New Roman" w:cs="Times New Roman"/>
            <w:color w:val="0000FF"/>
            <w:sz w:val="24"/>
            <w:szCs w:val="28"/>
            <w:u w:val="single"/>
            <w:lang w:eastAsia="es-ES"/>
          </w:rPr>
          <w:t>Convenio d</w:t>
        </w:r>
        <w:r w:rsidRPr="00610931">
          <w:rPr>
            <w:rFonts w:ascii="Times New Roman" w:eastAsia="Times New Roman" w:hAnsi="Times New Roman" w:cs="Times New Roman"/>
            <w:color w:val="0000FF"/>
            <w:sz w:val="24"/>
            <w:szCs w:val="28"/>
            <w:u w:val="single"/>
            <w:lang w:eastAsia="es-ES"/>
          </w:rPr>
          <w:t>e</w:t>
        </w:r>
        <w:r w:rsidRPr="00610931">
          <w:rPr>
            <w:rFonts w:ascii="Times New Roman" w:eastAsia="Times New Roman" w:hAnsi="Times New Roman" w:cs="Times New Roman"/>
            <w:color w:val="0000FF"/>
            <w:sz w:val="24"/>
            <w:szCs w:val="28"/>
            <w:u w:val="single"/>
            <w:lang w:eastAsia="es-ES"/>
          </w:rPr>
          <w:t xml:space="preserve"> Londres de 1929</w:t>
        </w:r>
      </w:hyperlink>
      <w:r w:rsidRPr="00610931">
        <w:rPr>
          <w:rFonts w:ascii="Times New Roman" w:eastAsia="Times New Roman" w:hAnsi="Times New Roman" w:cs="Times New Roman"/>
          <w:sz w:val="24"/>
          <w:szCs w:val="28"/>
          <w:lang w:eastAsia="es-ES"/>
        </w:rPr>
        <w:t xml:space="preserve"> sobre el que luego volveremos.</w:t>
      </w:r>
    </w:p>
    <w:p w:rsidR="00610931" w:rsidRPr="00610931" w:rsidRDefault="00610931" w:rsidP="00610931">
      <w:pPr>
        <w:widowControl w:val="0"/>
        <w:tabs>
          <w:tab w:val="left" w:leader="hyphen" w:pos="8500"/>
        </w:tabs>
        <w:spacing w:after="0" w:line="240" w:lineRule="auto"/>
        <w:jc w:val="both"/>
        <w:rPr>
          <w:rFonts w:ascii="Times New Roman" w:eastAsia="Times New Roman" w:hAnsi="Times New Roman" w:cs="Times New Roman"/>
          <w:sz w:val="24"/>
          <w:szCs w:val="28"/>
          <w:lang w:eastAsia="es-ES"/>
        </w:rPr>
      </w:pPr>
      <w:r w:rsidRPr="00610931">
        <w:rPr>
          <w:rFonts w:ascii="Times New Roman" w:eastAsia="Times New Roman" w:hAnsi="Times New Roman" w:cs="Times New Roman"/>
          <w:sz w:val="24"/>
          <w:szCs w:val="28"/>
          <w:lang w:eastAsia="es-ES"/>
        </w:rPr>
        <w:t>En espera del desarrollo de la notificación electrónica, a grandes rasgos los posibles procedimientos de notificación son:</w:t>
      </w:r>
    </w:p>
    <w:p w:rsidR="00610931" w:rsidRPr="00610931" w:rsidRDefault="00610931" w:rsidP="00610931">
      <w:pPr>
        <w:widowControl w:val="0"/>
        <w:numPr>
          <w:ilvl w:val="0"/>
          <w:numId w:val="6"/>
        </w:numPr>
        <w:spacing w:after="0" w:line="240" w:lineRule="auto"/>
        <w:jc w:val="both"/>
        <w:rPr>
          <w:rFonts w:ascii="Times New Roman" w:eastAsia="Times New Roman" w:hAnsi="Times New Roman" w:cs="Times New Roman"/>
          <w:sz w:val="24"/>
          <w:szCs w:val="28"/>
          <w:lang w:eastAsia="es-ES"/>
        </w:rPr>
      </w:pPr>
      <w:r w:rsidRPr="00610931">
        <w:rPr>
          <w:rFonts w:ascii="Times New Roman" w:eastAsia="Times New Roman" w:hAnsi="Times New Roman" w:cs="Times New Roman"/>
          <w:sz w:val="24"/>
          <w:szCs w:val="28"/>
          <w:lang w:eastAsia="es-ES"/>
        </w:rPr>
        <w:t>A través de la Autoridad central española, que es el Ministerio de Justicia (Subdirección General de Cooperación Jurídica Internacional; 28015 Madrid, calle San Bernardo 62, teléfono +34 91 390 2228), la cual habrá de contactar con la Autoridad central extranjera.</w:t>
      </w:r>
    </w:p>
    <w:p w:rsidR="00610931" w:rsidRPr="00610931" w:rsidRDefault="00610931" w:rsidP="00610931">
      <w:pPr>
        <w:widowControl w:val="0"/>
        <w:numPr>
          <w:ilvl w:val="0"/>
          <w:numId w:val="6"/>
        </w:numPr>
        <w:spacing w:after="0" w:line="240" w:lineRule="auto"/>
        <w:jc w:val="both"/>
        <w:rPr>
          <w:rFonts w:ascii="Times New Roman" w:eastAsia="Times New Roman" w:hAnsi="Times New Roman" w:cs="Times New Roman"/>
          <w:sz w:val="24"/>
          <w:szCs w:val="28"/>
          <w:lang w:eastAsia="es-ES"/>
        </w:rPr>
      </w:pPr>
      <w:r w:rsidRPr="00610931">
        <w:rPr>
          <w:rFonts w:ascii="Times New Roman" w:eastAsia="Times New Roman" w:hAnsi="Times New Roman" w:cs="Times New Roman"/>
          <w:sz w:val="24"/>
          <w:szCs w:val="28"/>
          <w:lang w:eastAsia="es-ES"/>
        </w:rPr>
        <w:t>Mediante exhorto consular si el Estado de destino autoriza que el Cónsul español pueda realizar tales notificaciones en su territorio, si bien normalmente suele excluirse a los nacionales del país de que se trate.</w:t>
      </w:r>
    </w:p>
    <w:p w:rsidR="00610931" w:rsidRPr="00610931" w:rsidRDefault="00610931" w:rsidP="00610931">
      <w:pPr>
        <w:widowControl w:val="0"/>
        <w:numPr>
          <w:ilvl w:val="0"/>
          <w:numId w:val="6"/>
        </w:numPr>
        <w:spacing w:after="0" w:line="240" w:lineRule="auto"/>
        <w:jc w:val="both"/>
        <w:rPr>
          <w:rFonts w:ascii="Times New Roman" w:eastAsia="Times New Roman" w:hAnsi="Times New Roman" w:cs="Times New Roman"/>
          <w:sz w:val="24"/>
          <w:szCs w:val="28"/>
          <w:lang w:eastAsia="es-ES"/>
        </w:rPr>
      </w:pPr>
      <w:r w:rsidRPr="00610931">
        <w:rPr>
          <w:rFonts w:ascii="Times New Roman" w:eastAsia="Times New Roman" w:hAnsi="Times New Roman" w:cs="Times New Roman"/>
          <w:sz w:val="24"/>
          <w:szCs w:val="28"/>
          <w:lang w:eastAsia="es-ES"/>
        </w:rPr>
        <w:t>Mediante exhorto al Notario o funcionario extranjero territorialmente competente.</w:t>
      </w:r>
    </w:p>
    <w:p w:rsidR="00610931" w:rsidRPr="00610931" w:rsidRDefault="00610931" w:rsidP="00610931">
      <w:pPr>
        <w:widowControl w:val="0"/>
        <w:numPr>
          <w:ilvl w:val="0"/>
          <w:numId w:val="6"/>
        </w:numPr>
        <w:spacing w:after="0" w:line="240" w:lineRule="auto"/>
        <w:jc w:val="both"/>
        <w:rPr>
          <w:rFonts w:ascii="Times New Roman" w:eastAsia="Times New Roman" w:hAnsi="Times New Roman" w:cs="Times New Roman"/>
          <w:sz w:val="24"/>
          <w:szCs w:val="28"/>
          <w:lang w:eastAsia="es-ES"/>
        </w:rPr>
      </w:pPr>
      <w:r w:rsidRPr="00610931">
        <w:rPr>
          <w:rFonts w:ascii="Times New Roman" w:eastAsia="Times New Roman" w:hAnsi="Times New Roman" w:cs="Times New Roman"/>
          <w:sz w:val="24"/>
          <w:szCs w:val="28"/>
          <w:lang w:eastAsia="es-ES"/>
        </w:rPr>
        <w:t>Directamente vía postal si el Estado de destino lo autoriza, se entiende que si lo permite también la legislación española para el acto de que se trate.</w:t>
      </w:r>
    </w:p>
    <w:p w:rsidR="00610931" w:rsidRPr="00610931" w:rsidRDefault="00610931" w:rsidP="00610931">
      <w:pPr>
        <w:widowControl w:val="0"/>
        <w:spacing w:after="0" w:line="240" w:lineRule="auto"/>
        <w:jc w:val="both"/>
        <w:rPr>
          <w:rFonts w:ascii="Times New Roman" w:eastAsia="Times New Roman" w:hAnsi="Times New Roman" w:cs="Times New Roman"/>
          <w:sz w:val="24"/>
          <w:szCs w:val="28"/>
          <w:lang w:eastAsia="es-ES"/>
        </w:rPr>
      </w:pPr>
      <w:r w:rsidRPr="00610931">
        <w:rPr>
          <w:rFonts w:ascii="Times New Roman" w:eastAsia="Times New Roman" w:hAnsi="Times New Roman" w:cs="Times New Roman"/>
          <w:sz w:val="24"/>
          <w:szCs w:val="28"/>
          <w:lang w:eastAsia="es-ES"/>
        </w:rPr>
        <w:t>P</w:t>
      </w:r>
      <w:r w:rsidRPr="00610931">
        <w:rPr>
          <w:rFonts w:ascii="Times New Roman" w:eastAsia="Times New Roman" w:hAnsi="Times New Roman" w:cs="Times New Roman"/>
          <w:sz w:val="24"/>
          <w:szCs w:val="28"/>
          <w:lang w:val="es-ES_tradnl" w:eastAsia="es-ES"/>
        </w:rPr>
        <w:t xml:space="preserve">ara </w:t>
      </w:r>
      <w:hyperlink r:id="rId12" w:history="1">
        <w:r w:rsidRPr="00610931">
          <w:rPr>
            <w:rFonts w:ascii="Times New Roman" w:eastAsia="Times New Roman" w:hAnsi="Times New Roman" w:cs="Times New Roman"/>
            <w:color w:val="0000FF"/>
            <w:sz w:val="24"/>
            <w:szCs w:val="28"/>
            <w:u w:val="single"/>
            <w:lang w:eastAsia="es-ES"/>
          </w:rPr>
          <w:t>Inmaculada ESPIÑEIRA</w:t>
        </w:r>
      </w:hyperlink>
      <w:r w:rsidRPr="00610931">
        <w:rPr>
          <w:rFonts w:ascii="Times New Roman" w:eastAsia="Times New Roman" w:hAnsi="Times New Roman" w:cs="Times New Roman"/>
          <w:b/>
          <w:sz w:val="24"/>
          <w:szCs w:val="28"/>
          <w:vertAlign w:val="superscript"/>
          <w:lang w:eastAsia="es-ES"/>
        </w:rPr>
        <w:footnoteReference w:id="3"/>
      </w:r>
      <w:r w:rsidRPr="00610931">
        <w:rPr>
          <w:rFonts w:ascii="Times New Roman" w:eastAsia="Times New Roman" w:hAnsi="Times New Roman" w:cs="Times New Roman"/>
          <w:sz w:val="24"/>
          <w:szCs w:val="28"/>
          <w:lang w:eastAsia="es-ES"/>
        </w:rPr>
        <w:t xml:space="preserve"> el requerimiento de notario a notario es el medio más adecuado para los países con notariado latino-germánico; se entiende ello, como pone de manifiesto Ana FERNÁNDEZ-TRESGUERRES</w:t>
      </w:r>
      <w:r w:rsidRPr="00610931">
        <w:rPr>
          <w:rFonts w:ascii="Times New Roman" w:eastAsia="Times New Roman" w:hAnsi="Times New Roman" w:cs="Times New Roman"/>
          <w:b/>
          <w:sz w:val="24"/>
          <w:szCs w:val="28"/>
          <w:vertAlign w:val="superscript"/>
          <w:lang w:eastAsia="es-ES"/>
        </w:rPr>
        <w:footnoteReference w:id="4"/>
      </w:r>
      <w:r w:rsidRPr="00610931">
        <w:rPr>
          <w:rFonts w:ascii="Times New Roman" w:eastAsia="Times New Roman" w:hAnsi="Times New Roman" w:cs="Times New Roman"/>
          <w:sz w:val="24"/>
          <w:szCs w:val="28"/>
          <w:lang w:eastAsia="es-ES"/>
        </w:rPr>
        <w:t xml:space="preserve">, cuando no sea posible el envío postal con acuse de recibo siempre que sea aceptado por el país de recepción y considerado suficiente en España, por ejemplo, para los procedimientos notariales introducidos por la </w:t>
      </w:r>
      <w:hyperlink r:id="rId13" w:history="1">
        <w:r w:rsidRPr="00610931">
          <w:rPr>
            <w:rFonts w:ascii="Times New Roman" w:eastAsia="Times New Roman" w:hAnsi="Times New Roman" w:cs="Times New Roman"/>
            <w:color w:val="0000FF"/>
            <w:sz w:val="24"/>
            <w:szCs w:val="28"/>
            <w:u w:val="single"/>
            <w:lang w:eastAsia="es-ES"/>
          </w:rPr>
          <w:t>Ley 15/2015</w:t>
        </w:r>
      </w:hyperlink>
      <w:r w:rsidRPr="00610931">
        <w:rPr>
          <w:rFonts w:ascii="Times New Roman" w:eastAsia="Times New Roman" w:hAnsi="Times New Roman" w:cs="Times New Roman"/>
          <w:sz w:val="24"/>
          <w:szCs w:val="28"/>
          <w:lang w:eastAsia="es-ES"/>
        </w:rPr>
        <w:t xml:space="preserve"> o el </w:t>
      </w:r>
      <w:hyperlink r:id="rId14" w:anchor="a111" w:history="1">
        <w:r w:rsidRPr="00610931">
          <w:rPr>
            <w:rFonts w:ascii="Times New Roman" w:eastAsia="Times New Roman" w:hAnsi="Times New Roman" w:cs="Times New Roman"/>
            <w:color w:val="0000FF"/>
            <w:sz w:val="24"/>
            <w:szCs w:val="28"/>
            <w:u w:val="single"/>
            <w:lang w:eastAsia="es-ES"/>
          </w:rPr>
          <w:t>art. 111 del Reglamento del Registro Mercantil</w:t>
        </w:r>
      </w:hyperlink>
      <w:r w:rsidRPr="00610931">
        <w:rPr>
          <w:rFonts w:ascii="Times New Roman" w:eastAsia="Times New Roman" w:hAnsi="Times New Roman" w:cs="Times New Roman"/>
          <w:sz w:val="24"/>
          <w:szCs w:val="28"/>
          <w:lang w:eastAsia="es-ES"/>
        </w:rPr>
        <w:t>.</w:t>
      </w:r>
    </w:p>
    <w:p w:rsidR="00610931" w:rsidRPr="00610931" w:rsidRDefault="00610931" w:rsidP="00610931">
      <w:pPr>
        <w:widowControl w:val="0"/>
        <w:spacing w:after="0" w:line="240" w:lineRule="auto"/>
        <w:jc w:val="both"/>
        <w:rPr>
          <w:rFonts w:ascii="Times New Roman" w:eastAsia="Times New Roman" w:hAnsi="Times New Roman" w:cs="Times New Roman"/>
          <w:sz w:val="24"/>
          <w:szCs w:val="28"/>
          <w:lang w:eastAsia="es-ES"/>
        </w:rPr>
      </w:pPr>
      <w:r w:rsidRPr="00610931">
        <w:rPr>
          <w:rFonts w:ascii="Times New Roman" w:eastAsia="Times New Roman" w:hAnsi="Times New Roman" w:cs="Times New Roman"/>
          <w:sz w:val="24"/>
          <w:szCs w:val="28"/>
          <w:lang w:eastAsia="es-ES"/>
        </w:rPr>
        <w:t xml:space="preserve">Un panorama de la notificación de documentos en la Unión Europea puede verse en </w:t>
      </w:r>
      <w:hyperlink r:id="rId15" w:history="1">
        <w:r w:rsidRPr="00610931">
          <w:rPr>
            <w:rFonts w:ascii="Times New Roman" w:eastAsia="Times New Roman" w:hAnsi="Times New Roman" w:cs="Times New Roman"/>
            <w:color w:val="0000FF"/>
            <w:sz w:val="24"/>
            <w:szCs w:val="28"/>
            <w:u w:val="single"/>
            <w:lang w:eastAsia="es-ES"/>
          </w:rPr>
          <w:t>https://e-justice.europa.eu/content_serving_documents-373-es.do</w:t>
        </w:r>
      </w:hyperlink>
      <w:r w:rsidRPr="00610931">
        <w:rPr>
          <w:rFonts w:ascii="Times New Roman" w:eastAsia="Times New Roman" w:hAnsi="Times New Roman" w:cs="Times New Roman"/>
          <w:sz w:val="24"/>
          <w:szCs w:val="28"/>
          <w:lang w:eastAsia="es-ES"/>
        </w:rPr>
        <w:t>, Incluye todavía en un gris desvaído el Reino Unido.</w:t>
      </w:r>
    </w:p>
    <w:p w:rsidR="00610931" w:rsidRPr="00610931" w:rsidRDefault="00610931" w:rsidP="00610931">
      <w:pPr>
        <w:widowControl w:val="0"/>
        <w:tabs>
          <w:tab w:val="left" w:leader="hyphen" w:pos="8500"/>
        </w:tabs>
        <w:spacing w:after="0" w:line="240" w:lineRule="auto"/>
        <w:jc w:val="both"/>
        <w:rPr>
          <w:rFonts w:ascii="Times New Roman" w:eastAsia="Times New Roman" w:hAnsi="Times New Roman" w:cs="Times New Roman"/>
          <w:iCs/>
          <w:sz w:val="24"/>
          <w:szCs w:val="28"/>
          <w:lang w:eastAsia="es-ES"/>
        </w:rPr>
      </w:pPr>
      <w:r w:rsidRPr="00610931">
        <w:rPr>
          <w:rFonts w:ascii="Times New Roman" w:eastAsia="Times New Roman" w:hAnsi="Times New Roman" w:cs="Times New Roman"/>
          <w:sz w:val="24"/>
          <w:szCs w:val="28"/>
          <w:lang w:eastAsia="es-ES"/>
        </w:rPr>
        <w:t xml:space="preserve">Advertir, por último, que el Tribunal Constitucional ha considerado que se vulnera el derecho a la tutela judicial efectiva cuando se notifica por edictos a un demandado cuyo domicilio está en el extranjero y este dato era conocido o podía haberse conocido </w:t>
      </w:r>
      <w:r w:rsidRPr="00610931">
        <w:rPr>
          <w:rFonts w:ascii="Times New Roman" w:eastAsia="Times New Roman" w:hAnsi="Times New Roman" w:cs="Times New Roman"/>
          <w:sz w:val="24"/>
          <w:szCs w:val="28"/>
          <w:lang w:eastAsia="es-ES"/>
        </w:rPr>
        <w:lastRenderedPageBreak/>
        <w:t>fácilmente (</w:t>
      </w:r>
      <w:hyperlink r:id="rId16" w:history="1">
        <w:r w:rsidRPr="00610931">
          <w:rPr>
            <w:rFonts w:ascii="Times New Roman" w:eastAsia="Times New Roman" w:hAnsi="Times New Roman" w:cs="Times New Roman"/>
            <w:color w:val="0000FF"/>
            <w:sz w:val="24"/>
            <w:szCs w:val="28"/>
            <w:u w:val="single"/>
            <w:lang w:eastAsia="es-ES"/>
          </w:rPr>
          <w:t>STC 268/2000</w:t>
        </w:r>
      </w:hyperlink>
      <w:r w:rsidRPr="00610931">
        <w:rPr>
          <w:rFonts w:ascii="Times New Roman" w:eastAsia="Times New Roman" w:hAnsi="Times New Roman" w:cs="Times New Roman"/>
          <w:sz w:val="24"/>
          <w:szCs w:val="28"/>
          <w:lang w:eastAsia="es-ES"/>
        </w:rPr>
        <w:t xml:space="preserve"> y </w:t>
      </w:r>
      <w:hyperlink r:id="rId17" w:history="1">
        <w:r w:rsidRPr="00610931">
          <w:rPr>
            <w:rFonts w:ascii="Times New Roman" w:eastAsia="Times New Roman" w:hAnsi="Times New Roman" w:cs="Times New Roman"/>
            <w:color w:val="0000FF"/>
            <w:sz w:val="24"/>
            <w:szCs w:val="28"/>
            <w:u w:val="single"/>
            <w:lang w:eastAsia="es-ES"/>
          </w:rPr>
          <w:t>214/2005</w:t>
        </w:r>
      </w:hyperlink>
      <w:r w:rsidRPr="00610931">
        <w:rPr>
          <w:rFonts w:ascii="Times New Roman" w:eastAsia="Times New Roman" w:hAnsi="Times New Roman" w:cs="Times New Roman"/>
          <w:sz w:val="24"/>
          <w:szCs w:val="28"/>
          <w:lang w:eastAsia="es-ES"/>
        </w:rPr>
        <w:t xml:space="preserve">). En consecuencia sólo cabe recurrir a la notificación por edictos, como dice el TJUE, siempre </w:t>
      </w:r>
      <w:r w:rsidRPr="00610931">
        <w:rPr>
          <w:rFonts w:ascii="Times New Roman" w:eastAsia="Times New Roman" w:hAnsi="Times New Roman" w:cs="Times New Roman"/>
          <w:i/>
          <w:iCs/>
          <w:sz w:val="24"/>
          <w:szCs w:val="28"/>
          <w:lang w:eastAsia="es-ES"/>
        </w:rPr>
        <w:t>“... que se hayan realizado todas las investigaciones que exigen los principios de diligencia y buena fe...</w:t>
      </w:r>
      <w:r w:rsidRPr="00610931">
        <w:rPr>
          <w:rFonts w:ascii="Times New Roman" w:eastAsia="Times New Roman" w:hAnsi="Times New Roman" w:cs="Times New Roman"/>
          <w:iCs/>
          <w:sz w:val="24"/>
          <w:szCs w:val="28"/>
          <w:lang w:eastAsia="es-ES"/>
        </w:rPr>
        <w:t>”. De hecho la legislación española siempre suele incluir en tales casos la coletilla «si su domicilio fuese conocido».</w:t>
      </w:r>
    </w:p>
    <w:p w:rsidR="00610931" w:rsidRPr="00610931" w:rsidRDefault="00610931" w:rsidP="00610931">
      <w:pPr>
        <w:widowControl w:val="0"/>
        <w:tabs>
          <w:tab w:val="left" w:leader="hyphen" w:pos="8500"/>
        </w:tabs>
        <w:spacing w:after="120" w:line="240" w:lineRule="auto"/>
        <w:jc w:val="both"/>
        <w:rPr>
          <w:rFonts w:ascii="Times New Roman" w:eastAsia="Times New Roman" w:hAnsi="Times New Roman" w:cs="Times New Roman"/>
          <w:iCs/>
          <w:sz w:val="24"/>
          <w:szCs w:val="28"/>
          <w:lang w:eastAsia="es-ES"/>
        </w:rPr>
      </w:pPr>
    </w:p>
    <w:p w:rsidR="00610931" w:rsidRPr="00610931" w:rsidRDefault="00610931" w:rsidP="00610931">
      <w:pPr>
        <w:widowControl w:val="0"/>
        <w:numPr>
          <w:ilvl w:val="0"/>
          <w:numId w:val="1"/>
        </w:numPr>
        <w:tabs>
          <w:tab w:val="left" w:leader="hyphen" w:pos="8500"/>
        </w:tabs>
        <w:spacing w:after="120" w:line="240" w:lineRule="auto"/>
        <w:ind w:left="357" w:hanging="357"/>
        <w:jc w:val="both"/>
        <w:rPr>
          <w:rFonts w:ascii="Times New Roman" w:eastAsia="Times New Roman" w:hAnsi="Times New Roman" w:cs="Times New Roman"/>
          <w:b/>
          <w:iCs/>
          <w:sz w:val="24"/>
          <w:szCs w:val="28"/>
          <w:lang w:eastAsia="es-ES"/>
        </w:rPr>
      </w:pPr>
      <w:r w:rsidRPr="00610931">
        <w:rPr>
          <w:rFonts w:ascii="Times New Roman" w:eastAsia="Times New Roman" w:hAnsi="Times New Roman" w:cs="Times New Roman"/>
          <w:b/>
          <w:iCs/>
          <w:sz w:val="24"/>
          <w:szCs w:val="28"/>
          <w:lang w:eastAsia="es-ES"/>
        </w:rPr>
        <w:t xml:space="preserve"> </w:t>
      </w:r>
      <w:bookmarkStart w:id="0" w:name="reglamento81"/>
      <w:bookmarkEnd w:id="0"/>
      <w:r w:rsidRPr="00610931">
        <w:rPr>
          <w:rFonts w:ascii="Times New Roman" w:eastAsia="Times New Roman" w:hAnsi="Times New Roman" w:cs="Times New Roman"/>
          <w:b/>
          <w:sz w:val="24"/>
          <w:szCs w:val="28"/>
          <w:lang w:val="es-ES_tradnl" w:eastAsia="es-ES"/>
        </w:rPr>
        <w:t>REGLAMENTOS EUROPEOS</w:t>
      </w:r>
    </w:p>
    <w:p w:rsidR="00610931" w:rsidRPr="00610931" w:rsidRDefault="00610931" w:rsidP="00610931">
      <w:pPr>
        <w:widowControl w:val="0"/>
        <w:numPr>
          <w:ilvl w:val="1"/>
          <w:numId w:val="1"/>
        </w:numPr>
        <w:tabs>
          <w:tab w:val="left" w:leader="hyphen" w:pos="8500"/>
        </w:tabs>
        <w:spacing w:after="60" w:line="240" w:lineRule="auto"/>
        <w:ind w:left="788" w:hanging="431"/>
        <w:jc w:val="both"/>
        <w:rPr>
          <w:rFonts w:ascii="Times New Roman" w:eastAsia="Times New Roman" w:hAnsi="Times New Roman" w:cs="Times New Roman"/>
          <w:b/>
          <w:iCs/>
          <w:sz w:val="24"/>
          <w:szCs w:val="28"/>
          <w:lang w:eastAsia="es-ES"/>
        </w:rPr>
      </w:pPr>
      <w:bookmarkStart w:id="1" w:name="reglamanto2000"/>
      <w:bookmarkEnd w:id="1"/>
      <w:r w:rsidRPr="00610931">
        <w:rPr>
          <w:rFonts w:ascii="Times New Roman" w:eastAsia="Times New Roman" w:hAnsi="Times New Roman" w:cs="Times New Roman"/>
          <w:b/>
          <w:sz w:val="24"/>
          <w:szCs w:val="28"/>
          <w:lang w:val="es-ES_tradnl" w:eastAsia="es-ES"/>
        </w:rPr>
        <w:t>Reglamento de 2000 (desde el 31/05/2001 hasta el 12/11/2008)</w:t>
      </w:r>
    </w:p>
    <w:p w:rsidR="00610931" w:rsidRPr="00610931" w:rsidRDefault="00610931" w:rsidP="00610931">
      <w:pPr>
        <w:widowControl w:val="0"/>
        <w:tabs>
          <w:tab w:val="left" w:leader="hyphen" w:pos="8500"/>
        </w:tabs>
        <w:spacing w:after="120" w:line="240" w:lineRule="auto"/>
        <w:ind w:left="709"/>
        <w:jc w:val="both"/>
        <w:rPr>
          <w:rFonts w:ascii="Times New Roman" w:eastAsia="Times New Roman" w:hAnsi="Times New Roman" w:cs="Times New Roman"/>
          <w:sz w:val="24"/>
          <w:szCs w:val="28"/>
          <w:lang w:val="es-ES_tradnl" w:eastAsia="es-ES"/>
        </w:rPr>
      </w:pPr>
      <w:r w:rsidRPr="00610931">
        <w:rPr>
          <w:rFonts w:ascii="Times New Roman" w:eastAsia="Times New Roman" w:hAnsi="Times New Roman" w:cs="Times New Roman"/>
          <w:sz w:val="24"/>
          <w:szCs w:val="28"/>
          <w:lang w:val="es-ES_tradnl" w:eastAsia="es-ES"/>
        </w:rPr>
        <w:t xml:space="preserve">Para los Estados miembros de la Unión Europea (salvo Dinamarca), desde el 31 de mayo de 2001 hasta el 12 de noviembre de 2008), el </w:t>
      </w:r>
      <w:hyperlink r:id="rId18" w:history="1">
        <w:r w:rsidRPr="00610931">
          <w:rPr>
            <w:rFonts w:ascii="Times New Roman" w:eastAsia="Times New Roman" w:hAnsi="Times New Roman" w:cs="Times New Roman"/>
            <w:color w:val="0000FF"/>
            <w:sz w:val="24"/>
            <w:szCs w:val="28"/>
            <w:u w:val="single"/>
            <w:lang w:val="es-ES_tradnl" w:eastAsia="es-ES"/>
          </w:rPr>
          <w:t>Reglamento europeo 1348/2000 de Notificación de documentos judiciales y extrajudiciales en materia civil o mercantil</w:t>
        </w:r>
      </w:hyperlink>
      <w:r w:rsidRPr="00610931">
        <w:rPr>
          <w:rFonts w:ascii="Times New Roman" w:eastAsia="Times New Roman" w:hAnsi="Times New Roman" w:cs="Times New Roman"/>
          <w:sz w:val="24"/>
          <w:szCs w:val="28"/>
          <w:lang w:val="es-ES_tradnl" w:eastAsia="es-ES"/>
        </w:rPr>
        <w:t>.</w:t>
      </w:r>
    </w:p>
    <w:p w:rsidR="00610931" w:rsidRPr="00610931" w:rsidRDefault="00610931" w:rsidP="00610931">
      <w:pPr>
        <w:widowControl w:val="0"/>
        <w:numPr>
          <w:ilvl w:val="1"/>
          <w:numId w:val="1"/>
        </w:numPr>
        <w:tabs>
          <w:tab w:val="left" w:leader="hyphen" w:pos="8500"/>
        </w:tabs>
        <w:spacing w:after="60" w:line="240" w:lineRule="auto"/>
        <w:ind w:left="788" w:hanging="431"/>
        <w:jc w:val="both"/>
        <w:rPr>
          <w:rFonts w:ascii="Times New Roman" w:eastAsia="Times New Roman" w:hAnsi="Times New Roman" w:cs="Times New Roman"/>
          <w:b/>
          <w:iCs/>
          <w:sz w:val="24"/>
          <w:szCs w:val="28"/>
          <w:lang w:eastAsia="es-ES"/>
        </w:rPr>
      </w:pPr>
      <w:bookmarkStart w:id="2" w:name="reglamento2007"/>
      <w:bookmarkEnd w:id="2"/>
      <w:r w:rsidRPr="00610931">
        <w:rPr>
          <w:rFonts w:ascii="Times New Roman" w:eastAsia="Times New Roman" w:hAnsi="Times New Roman" w:cs="Times New Roman"/>
          <w:b/>
          <w:iCs/>
          <w:sz w:val="24"/>
          <w:szCs w:val="28"/>
          <w:lang w:eastAsia="es-ES"/>
        </w:rPr>
        <w:t>Reglamento de 2007 (desde el 13/11/2008 al 30/06/2022)</w:t>
      </w:r>
    </w:p>
    <w:p w:rsidR="00610931" w:rsidRPr="00610931" w:rsidRDefault="00610931" w:rsidP="00610931">
      <w:pPr>
        <w:widowControl w:val="0"/>
        <w:tabs>
          <w:tab w:val="left" w:leader="hyphen" w:pos="8500"/>
        </w:tabs>
        <w:spacing w:after="0" w:line="240" w:lineRule="auto"/>
        <w:ind w:left="708"/>
        <w:jc w:val="both"/>
        <w:rPr>
          <w:rFonts w:ascii="Times New Roman" w:eastAsia="Times New Roman" w:hAnsi="Times New Roman" w:cs="Times New Roman"/>
          <w:sz w:val="24"/>
          <w:szCs w:val="28"/>
          <w:lang w:val="es-ES_tradnl" w:eastAsia="es-ES"/>
        </w:rPr>
      </w:pPr>
      <w:r w:rsidRPr="00610931">
        <w:rPr>
          <w:rFonts w:ascii="Times New Roman" w:eastAsia="Times New Roman" w:hAnsi="Times New Roman" w:cs="Times New Roman"/>
          <w:sz w:val="24"/>
          <w:szCs w:val="28"/>
          <w:lang w:val="es-ES_tradnl" w:eastAsia="es-ES"/>
        </w:rPr>
        <w:t xml:space="preserve">Para los Estados miembros de la Unión Europea, desde el 13 de noviembre de 2008 hasta el 30 de junio de 2022), el </w:t>
      </w:r>
      <w:hyperlink r:id="rId19" w:history="1">
        <w:r w:rsidRPr="00610931">
          <w:rPr>
            <w:rFonts w:ascii="Times New Roman" w:eastAsia="Times New Roman" w:hAnsi="Times New Roman" w:cs="Times New Roman"/>
            <w:color w:val="0000FF"/>
            <w:sz w:val="24"/>
            <w:szCs w:val="28"/>
            <w:u w:val="single"/>
            <w:lang w:val="es-ES_tradnl" w:eastAsia="es-ES"/>
          </w:rPr>
          <w:t>Reg</w:t>
        </w:r>
        <w:r w:rsidRPr="00610931">
          <w:rPr>
            <w:rFonts w:ascii="Times New Roman" w:eastAsia="Times New Roman" w:hAnsi="Times New Roman" w:cs="Times New Roman"/>
            <w:color w:val="0000FF"/>
            <w:sz w:val="24"/>
            <w:szCs w:val="28"/>
            <w:u w:val="single"/>
            <w:lang w:val="es-ES_tradnl" w:eastAsia="es-ES"/>
          </w:rPr>
          <w:t>l</w:t>
        </w:r>
        <w:r w:rsidRPr="00610931">
          <w:rPr>
            <w:rFonts w:ascii="Times New Roman" w:eastAsia="Times New Roman" w:hAnsi="Times New Roman" w:cs="Times New Roman"/>
            <w:color w:val="0000FF"/>
            <w:sz w:val="24"/>
            <w:szCs w:val="28"/>
            <w:u w:val="single"/>
            <w:lang w:val="es-ES_tradnl" w:eastAsia="es-ES"/>
          </w:rPr>
          <w:t>am</w:t>
        </w:r>
        <w:r w:rsidRPr="00610931">
          <w:rPr>
            <w:rFonts w:ascii="Times New Roman" w:eastAsia="Times New Roman" w:hAnsi="Times New Roman" w:cs="Times New Roman"/>
            <w:color w:val="0000FF"/>
            <w:sz w:val="24"/>
            <w:szCs w:val="28"/>
            <w:u w:val="single"/>
            <w:lang w:val="es-ES_tradnl" w:eastAsia="es-ES"/>
          </w:rPr>
          <w:t>e</w:t>
        </w:r>
        <w:r w:rsidRPr="00610931">
          <w:rPr>
            <w:rFonts w:ascii="Times New Roman" w:eastAsia="Times New Roman" w:hAnsi="Times New Roman" w:cs="Times New Roman"/>
            <w:color w:val="0000FF"/>
            <w:sz w:val="24"/>
            <w:szCs w:val="28"/>
            <w:u w:val="single"/>
            <w:lang w:val="es-ES_tradnl" w:eastAsia="es-ES"/>
          </w:rPr>
          <w:t>nto europeo 1393/2007 de Notificación de documentos judiciales y extrajudiciales en materia civil o mercantil</w:t>
        </w:r>
      </w:hyperlink>
      <w:r w:rsidRPr="00610931">
        <w:rPr>
          <w:rFonts w:ascii="Times New Roman" w:eastAsia="Times New Roman" w:hAnsi="Times New Roman" w:cs="Times New Roman"/>
          <w:sz w:val="24"/>
          <w:szCs w:val="28"/>
          <w:lang w:val="es-ES_tradnl" w:eastAsia="es-ES"/>
        </w:rPr>
        <w:t>.</w:t>
      </w:r>
    </w:p>
    <w:p w:rsidR="00610931" w:rsidRPr="00610931" w:rsidRDefault="00610931" w:rsidP="00610931">
      <w:pPr>
        <w:widowControl w:val="0"/>
        <w:tabs>
          <w:tab w:val="left" w:leader="hyphen" w:pos="8500"/>
        </w:tabs>
        <w:spacing w:after="0" w:line="240" w:lineRule="auto"/>
        <w:ind w:left="708"/>
        <w:jc w:val="both"/>
        <w:rPr>
          <w:rFonts w:ascii="Times New Roman" w:eastAsia="Times New Roman" w:hAnsi="Times New Roman" w:cs="Times New Roman"/>
          <w:sz w:val="24"/>
          <w:szCs w:val="28"/>
          <w:lang w:val="es-ES_tradnl" w:eastAsia="es-ES"/>
        </w:rPr>
      </w:pPr>
      <w:r w:rsidRPr="00610931">
        <w:rPr>
          <w:rFonts w:ascii="Times New Roman" w:eastAsia="Times New Roman" w:hAnsi="Times New Roman" w:cs="Times New Roman"/>
          <w:sz w:val="24"/>
          <w:szCs w:val="28"/>
          <w:lang w:val="es-ES_tradnl" w:eastAsia="es-ES"/>
        </w:rPr>
        <w:t>Destacar del mismo:</w:t>
      </w:r>
    </w:p>
    <w:p w:rsidR="00610931" w:rsidRPr="00610931" w:rsidRDefault="00610931" w:rsidP="00610931">
      <w:pPr>
        <w:widowControl w:val="0"/>
        <w:numPr>
          <w:ilvl w:val="0"/>
          <w:numId w:val="2"/>
        </w:numPr>
        <w:spacing w:after="0" w:line="240" w:lineRule="auto"/>
        <w:ind w:left="1068"/>
        <w:jc w:val="both"/>
        <w:rPr>
          <w:rFonts w:ascii="Times New Roman" w:eastAsia="Times New Roman" w:hAnsi="Times New Roman" w:cs="Times New Roman"/>
          <w:sz w:val="24"/>
          <w:szCs w:val="28"/>
          <w:lang w:val="es-ES_tradnl" w:eastAsia="es-ES"/>
        </w:rPr>
      </w:pPr>
      <w:r w:rsidRPr="00610931">
        <w:rPr>
          <w:rFonts w:ascii="Times New Roman" w:eastAsia="Times New Roman" w:hAnsi="Times New Roman" w:cs="Times New Roman"/>
          <w:sz w:val="24"/>
          <w:szCs w:val="28"/>
          <w:lang w:val="es-ES_tradnl" w:eastAsia="es-ES"/>
        </w:rPr>
        <w:t>Que se aplica también a Dinamarca por vía de un acuerdo bilateral entre este Estado y la Comunidad Europea.</w:t>
      </w:r>
    </w:p>
    <w:p w:rsidR="00610931" w:rsidRPr="00610931" w:rsidRDefault="00610931" w:rsidP="00610931">
      <w:pPr>
        <w:widowControl w:val="0"/>
        <w:numPr>
          <w:ilvl w:val="0"/>
          <w:numId w:val="2"/>
        </w:numPr>
        <w:spacing w:after="0" w:line="240" w:lineRule="auto"/>
        <w:ind w:left="1068"/>
        <w:jc w:val="both"/>
        <w:rPr>
          <w:rFonts w:ascii="Times New Roman" w:eastAsia="Times New Roman" w:hAnsi="Times New Roman" w:cs="Times New Roman"/>
          <w:sz w:val="24"/>
          <w:szCs w:val="28"/>
          <w:lang w:val="es-ES_tradnl" w:eastAsia="es-ES"/>
        </w:rPr>
      </w:pPr>
      <w:r w:rsidRPr="00610931">
        <w:rPr>
          <w:rFonts w:ascii="Times New Roman" w:eastAsia="Times New Roman" w:hAnsi="Times New Roman" w:cs="Times New Roman"/>
          <w:sz w:val="24"/>
          <w:szCs w:val="28"/>
          <w:lang w:val="es-ES_tradnl" w:eastAsia="es-ES"/>
        </w:rPr>
        <w:t>Los documentos a notificar se exceptúan de legalización.</w:t>
      </w:r>
    </w:p>
    <w:p w:rsidR="00610931" w:rsidRPr="00610931" w:rsidRDefault="00610931" w:rsidP="00610931">
      <w:pPr>
        <w:widowControl w:val="0"/>
        <w:numPr>
          <w:ilvl w:val="0"/>
          <w:numId w:val="2"/>
        </w:numPr>
        <w:spacing w:after="0" w:line="240" w:lineRule="auto"/>
        <w:ind w:left="1068"/>
        <w:jc w:val="both"/>
        <w:rPr>
          <w:rFonts w:ascii="Times New Roman" w:eastAsia="Times New Roman" w:hAnsi="Times New Roman" w:cs="Times New Roman"/>
          <w:sz w:val="24"/>
          <w:szCs w:val="28"/>
          <w:lang w:val="es-ES_tradnl" w:eastAsia="es-ES"/>
        </w:rPr>
      </w:pPr>
      <w:r w:rsidRPr="00610931">
        <w:rPr>
          <w:rFonts w:ascii="Times New Roman" w:eastAsia="Times New Roman" w:hAnsi="Times New Roman" w:cs="Times New Roman"/>
          <w:bCs/>
          <w:sz w:val="24"/>
          <w:szCs w:val="28"/>
          <w:lang w:eastAsia="es-ES"/>
        </w:rPr>
        <w:t xml:space="preserve">Permite la remisión al destino a través de la Autoridad central u «organismo transmisor» (rellenando el formulario anexo al Reglamento); o incluso directamente </w:t>
      </w:r>
      <w:r w:rsidRPr="00610931">
        <w:rPr>
          <w:rFonts w:ascii="Times New Roman" w:eastAsia="Times New Roman" w:hAnsi="Times New Roman" w:cs="Times New Roman"/>
          <w:bCs/>
          <w:sz w:val="24"/>
          <w:szCs w:val="28"/>
          <w:lang w:val="es-ES_tradnl" w:eastAsia="es-ES"/>
        </w:rPr>
        <w:t xml:space="preserve">por carta certificada con acuse de recibo o equivalente, informándonos </w:t>
      </w:r>
      <w:hyperlink r:id="rId20" w:history="1">
        <w:r w:rsidRPr="00610931">
          <w:rPr>
            <w:rFonts w:ascii="Times New Roman" w:eastAsia="Times New Roman" w:hAnsi="Times New Roman" w:cs="Times New Roman"/>
            <w:bCs/>
            <w:color w:val="0000FF"/>
            <w:sz w:val="24"/>
            <w:szCs w:val="28"/>
            <w:u w:val="single"/>
            <w:lang w:eastAsia="es-ES"/>
          </w:rPr>
          <w:t>Francisco GARCIMARTÍN</w:t>
        </w:r>
      </w:hyperlink>
      <w:r w:rsidRPr="00610931">
        <w:rPr>
          <w:rFonts w:ascii="Times New Roman" w:eastAsia="Times New Roman" w:hAnsi="Times New Roman" w:cs="Times New Roman"/>
          <w:b/>
          <w:bCs/>
          <w:sz w:val="24"/>
          <w:szCs w:val="28"/>
          <w:vertAlign w:val="superscript"/>
          <w:lang w:eastAsia="es-ES"/>
        </w:rPr>
        <w:footnoteReference w:id="5"/>
      </w:r>
      <w:r w:rsidRPr="00610931">
        <w:rPr>
          <w:rFonts w:ascii="Times New Roman" w:eastAsia="Times New Roman" w:hAnsi="Times New Roman" w:cs="Times New Roman"/>
          <w:bCs/>
          <w:sz w:val="24"/>
          <w:szCs w:val="28"/>
          <w:lang w:eastAsia="es-ES"/>
        </w:rPr>
        <w:t xml:space="preserve"> de  las garantías exigidas por la jurisprudencia del TJUE al respecto.</w:t>
      </w:r>
    </w:p>
    <w:p w:rsidR="00610931" w:rsidRPr="00610931" w:rsidRDefault="00610931" w:rsidP="00610931">
      <w:pPr>
        <w:widowControl w:val="0"/>
        <w:numPr>
          <w:ilvl w:val="0"/>
          <w:numId w:val="2"/>
        </w:numPr>
        <w:spacing w:after="0" w:line="240" w:lineRule="auto"/>
        <w:ind w:left="1068"/>
        <w:jc w:val="both"/>
        <w:rPr>
          <w:rFonts w:ascii="Times New Roman" w:eastAsia="Times New Roman" w:hAnsi="Times New Roman" w:cs="Times New Roman"/>
          <w:sz w:val="24"/>
          <w:szCs w:val="28"/>
          <w:lang w:val="es-ES_tradnl" w:eastAsia="es-ES"/>
        </w:rPr>
      </w:pPr>
      <w:r w:rsidRPr="00610931">
        <w:rPr>
          <w:rFonts w:ascii="Times New Roman" w:eastAsia="Times New Roman" w:hAnsi="Times New Roman" w:cs="Times New Roman"/>
          <w:bCs/>
          <w:sz w:val="24"/>
          <w:szCs w:val="28"/>
          <w:lang w:eastAsia="es-ES"/>
        </w:rPr>
        <w:t xml:space="preserve">Contempla la posibilidad de reserva a las notificaciones mediante exhorto consular; mientras que la notificación mediante requerimiento a </w:t>
      </w:r>
      <w:r w:rsidRPr="00610931">
        <w:rPr>
          <w:rFonts w:ascii="Times New Roman" w:eastAsia="Times New Roman" w:hAnsi="Times New Roman" w:cs="Times New Roman"/>
          <w:bCs/>
          <w:sz w:val="24"/>
          <w:szCs w:val="28"/>
          <w:lang w:val="es-ES_tradnl" w:eastAsia="es-ES"/>
        </w:rPr>
        <w:t>los agentes judiciales, funcionarios u otras personas competentes del Estado miembro requerido, únicamente cuando tal notificación o traslado directos estén permitidos conforme al Derecho interno de ese Estado miembro.</w:t>
      </w:r>
    </w:p>
    <w:p w:rsidR="00610931" w:rsidRPr="00610931" w:rsidRDefault="00610931" w:rsidP="00610931">
      <w:pPr>
        <w:widowControl w:val="0"/>
        <w:numPr>
          <w:ilvl w:val="0"/>
          <w:numId w:val="2"/>
        </w:numPr>
        <w:spacing w:after="0" w:line="240" w:lineRule="auto"/>
        <w:ind w:left="1066" w:hanging="357"/>
        <w:jc w:val="both"/>
        <w:rPr>
          <w:rFonts w:ascii="Times New Roman" w:eastAsia="Times New Roman" w:hAnsi="Times New Roman" w:cs="Times New Roman"/>
          <w:sz w:val="24"/>
          <w:szCs w:val="28"/>
          <w:lang w:val="es-ES_tradnl" w:eastAsia="es-ES"/>
        </w:rPr>
      </w:pPr>
      <w:r w:rsidRPr="00610931">
        <w:rPr>
          <w:rFonts w:ascii="Times New Roman" w:eastAsia="Times New Roman" w:hAnsi="Times New Roman" w:cs="Times New Roman"/>
          <w:bCs/>
          <w:sz w:val="24"/>
          <w:szCs w:val="28"/>
          <w:lang w:val="es-ES_tradnl" w:eastAsia="es-ES"/>
        </w:rPr>
        <w:t>Prevé el plazo de 1 mes para la comunicación, así como la remisión de un certificado acreditativo de no haber podido realizarse, pero sin determinar las consecuencias, que quedan a la legislación interna de origen.</w:t>
      </w:r>
    </w:p>
    <w:p w:rsidR="00610931" w:rsidRPr="00610931" w:rsidRDefault="00610931" w:rsidP="00610931">
      <w:pPr>
        <w:widowControl w:val="0"/>
        <w:numPr>
          <w:ilvl w:val="0"/>
          <w:numId w:val="2"/>
        </w:numPr>
        <w:spacing w:after="120" w:line="240" w:lineRule="auto"/>
        <w:ind w:left="1066" w:hanging="357"/>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val="es-ES_tradnl" w:eastAsia="es-ES"/>
        </w:rPr>
        <w:t>El Reglamento 1393/2007 prevalece sobre cualesquiera otros convenios, en particular el Convenio de La Haya de 1965, pero no impide su aplicación en lo que sea compatible.</w:t>
      </w:r>
    </w:p>
    <w:p w:rsidR="00610931" w:rsidRPr="00610931" w:rsidRDefault="00610931" w:rsidP="00610931">
      <w:pPr>
        <w:widowControl w:val="0"/>
        <w:numPr>
          <w:ilvl w:val="1"/>
          <w:numId w:val="1"/>
        </w:numPr>
        <w:tabs>
          <w:tab w:val="left" w:leader="hyphen" w:pos="8500"/>
        </w:tabs>
        <w:spacing w:after="60" w:line="240" w:lineRule="auto"/>
        <w:ind w:left="788" w:hanging="431"/>
        <w:jc w:val="both"/>
        <w:rPr>
          <w:rFonts w:ascii="Times New Roman" w:eastAsia="Times New Roman" w:hAnsi="Times New Roman" w:cs="Times New Roman"/>
          <w:b/>
          <w:iCs/>
          <w:sz w:val="24"/>
          <w:szCs w:val="28"/>
          <w:lang w:eastAsia="es-ES"/>
        </w:rPr>
      </w:pPr>
      <w:bookmarkStart w:id="3" w:name="reglamento2020"/>
      <w:bookmarkEnd w:id="3"/>
      <w:r w:rsidRPr="00610931">
        <w:rPr>
          <w:rFonts w:ascii="Times New Roman" w:eastAsia="Times New Roman" w:hAnsi="Times New Roman" w:cs="Times New Roman"/>
          <w:b/>
          <w:iCs/>
          <w:sz w:val="24"/>
          <w:szCs w:val="28"/>
          <w:lang w:eastAsia="es-ES"/>
        </w:rPr>
        <w:t>Reglamento de 2020 (desde el 01/07/2022)</w:t>
      </w:r>
    </w:p>
    <w:p w:rsidR="00610931" w:rsidRPr="00610931" w:rsidRDefault="00610931" w:rsidP="00610931">
      <w:pPr>
        <w:widowControl w:val="0"/>
        <w:spacing w:after="0" w:line="240" w:lineRule="auto"/>
        <w:ind w:left="709"/>
        <w:jc w:val="both"/>
        <w:rPr>
          <w:rFonts w:ascii="Times New Roman" w:eastAsia="Times New Roman" w:hAnsi="Times New Roman" w:cs="Times New Roman"/>
          <w:sz w:val="24"/>
          <w:szCs w:val="28"/>
          <w:lang w:val="es-ES_tradnl" w:eastAsia="es-ES"/>
        </w:rPr>
      </w:pPr>
      <w:r w:rsidRPr="00610931">
        <w:rPr>
          <w:rFonts w:ascii="Times New Roman" w:eastAsia="Times New Roman" w:hAnsi="Times New Roman" w:cs="Times New Roman"/>
          <w:sz w:val="24"/>
          <w:szCs w:val="28"/>
          <w:lang w:val="es-ES_tradnl" w:eastAsia="es-ES"/>
        </w:rPr>
        <w:t xml:space="preserve">Para los Estados miembros de la Unión Europea (salvo, de momento, Dinamarca), desde el 1 de julio de 2022, el </w:t>
      </w:r>
      <w:hyperlink r:id="rId21" w:history="1">
        <w:r w:rsidRPr="00610931">
          <w:rPr>
            <w:rFonts w:ascii="Times New Roman" w:eastAsia="Times New Roman" w:hAnsi="Times New Roman" w:cs="Times New Roman"/>
            <w:color w:val="0000FF"/>
            <w:sz w:val="24"/>
            <w:szCs w:val="28"/>
            <w:u w:val="single"/>
            <w:lang w:val="es-ES_tradnl" w:eastAsia="es-ES"/>
          </w:rPr>
          <w:t>Reglamento europeo 2020/1784 de Notificación de documentos judiciales y extrajudiciales en materia civil o mercantil</w:t>
        </w:r>
      </w:hyperlink>
      <w:r w:rsidRPr="00610931">
        <w:rPr>
          <w:rFonts w:ascii="Times New Roman" w:eastAsia="Times New Roman" w:hAnsi="Times New Roman" w:cs="Times New Roman"/>
          <w:sz w:val="24"/>
          <w:szCs w:val="28"/>
          <w:lang w:val="es-ES_tradnl" w:eastAsia="es-ES"/>
        </w:rPr>
        <w:t>.</w:t>
      </w:r>
    </w:p>
    <w:p w:rsidR="00610931" w:rsidRPr="00610931" w:rsidRDefault="00610931" w:rsidP="00610931">
      <w:pPr>
        <w:widowControl w:val="0"/>
        <w:spacing w:after="0" w:line="240" w:lineRule="auto"/>
        <w:ind w:left="709"/>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val="es-ES_tradnl" w:eastAsia="es-ES"/>
        </w:rPr>
        <w:lastRenderedPageBreak/>
        <w:t>Destacar del mismo:</w:t>
      </w:r>
    </w:p>
    <w:p w:rsidR="00610931" w:rsidRPr="00610931" w:rsidRDefault="00610931" w:rsidP="00610931">
      <w:pPr>
        <w:widowControl w:val="0"/>
        <w:numPr>
          <w:ilvl w:val="0"/>
          <w:numId w:val="7"/>
        </w:numPr>
        <w:spacing w:after="0" w:line="240" w:lineRule="auto"/>
        <w:ind w:left="1066" w:hanging="357"/>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val="es-ES_tradnl" w:eastAsia="es-ES"/>
        </w:rPr>
        <w:t>No se aplica cuando la dirección sea desconocida, si bien prevé la asistencia en la determinación de la dirección.</w:t>
      </w:r>
    </w:p>
    <w:p w:rsidR="00610931" w:rsidRPr="00610931" w:rsidRDefault="00610931" w:rsidP="00610931">
      <w:pPr>
        <w:widowControl w:val="0"/>
        <w:numPr>
          <w:ilvl w:val="0"/>
          <w:numId w:val="7"/>
        </w:numPr>
        <w:spacing w:after="0" w:line="240" w:lineRule="auto"/>
        <w:ind w:left="1066" w:hanging="357"/>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val="es-ES_tradnl" w:eastAsia="es-ES"/>
        </w:rPr>
        <w:t>Los documentos a notificar se exceptúan de legalización.</w:t>
      </w:r>
    </w:p>
    <w:p w:rsidR="00610931" w:rsidRPr="00610931" w:rsidRDefault="00610931" w:rsidP="00610931">
      <w:pPr>
        <w:widowControl w:val="0"/>
        <w:numPr>
          <w:ilvl w:val="0"/>
          <w:numId w:val="7"/>
        </w:numPr>
        <w:spacing w:after="0" w:line="240" w:lineRule="auto"/>
        <w:ind w:left="1066" w:hanging="357"/>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val="es-ES_tradnl" w:eastAsia="es-ES"/>
        </w:rPr>
        <w:t>El destinatario podrá negarse a aceptar la notificación si no se acompaña traducción en una lengua que entienda u oficial en el lugar de notificación.</w:t>
      </w:r>
    </w:p>
    <w:p w:rsidR="00610931" w:rsidRPr="00610931" w:rsidRDefault="00610931" w:rsidP="00610931">
      <w:pPr>
        <w:widowControl w:val="0"/>
        <w:numPr>
          <w:ilvl w:val="0"/>
          <w:numId w:val="7"/>
        </w:numPr>
        <w:spacing w:after="0" w:line="240" w:lineRule="auto"/>
        <w:ind w:left="1066" w:hanging="357"/>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val="es-ES_tradnl" w:eastAsia="es-ES"/>
        </w:rPr>
        <w:t xml:space="preserve">Cada Estado miembro facilitará la relación de </w:t>
      </w:r>
      <w:r w:rsidRPr="00610931">
        <w:rPr>
          <w:rFonts w:ascii="Times New Roman" w:eastAsia="Times New Roman" w:hAnsi="Times New Roman" w:cs="Times New Roman"/>
          <w:bCs/>
          <w:sz w:val="24"/>
          <w:szCs w:val="28"/>
          <w:lang w:eastAsia="es-ES"/>
        </w:rPr>
        <w:t>«</w:t>
      </w:r>
      <w:r w:rsidRPr="00610931">
        <w:rPr>
          <w:rFonts w:ascii="Times New Roman" w:eastAsia="Times New Roman" w:hAnsi="Times New Roman" w:cs="Times New Roman"/>
          <w:bCs/>
          <w:sz w:val="24"/>
          <w:szCs w:val="28"/>
          <w:lang w:val="es-ES_tradnl" w:eastAsia="es-ES"/>
        </w:rPr>
        <w:t>organismos transmisores</w:t>
      </w:r>
      <w:r w:rsidRPr="00610931">
        <w:rPr>
          <w:rFonts w:ascii="Times New Roman" w:eastAsia="Times New Roman" w:hAnsi="Times New Roman" w:cs="Times New Roman"/>
          <w:bCs/>
          <w:sz w:val="24"/>
          <w:szCs w:val="28"/>
          <w:lang w:eastAsia="es-ES"/>
        </w:rPr>
        <w:t>»</w:t>
      </w:r>
      <w:r w:rsidRPr="00610931">
        <w:rPr>
          <w:rFonts w:ascii="Times New Roman" w:eastAsia="Times New Roman" w:hAnsi="Times New Roman" w:cs="Times New Roman"/>
          <w:bCs/>
          <w:sz w:val="24"/>
          <w:szCs w:val="28"/>
          <w:lang w:val="es-ES_tradnl" w:eastAsia="es-ES"/>
        </w:rPr>
        <w:t xml:space="preserve"> y </w:t>
      </w:r>
      <w:r w:rsidRPr="00610931">
        <w:rPr>
          <w:rFonts w:ascii="Times New Roman" w:eastAsia="Times New Roman" w:hAnsi="Times New Roman" w:cs="Times New Roman"/>
          <w:bCs/>
          <w:sz w:val="24"/>
          <w:szCs w:val="28"/>
          <w:lang w:eastAsia="es-ES"/>
        </w:rPr>
        <w:t>«</w:t>
      </w:r>
      <w:r w:rsidRPr="00610931">
        <w:rPr>
          <w:rFonts w:ascii="Times New Roman" w:eastAsia="Times New Roman" w:hAnsi="Times New Roman" w:cs="Times New Roman"/>
          <w:bCs/>
          <w:sz w:val="24"/>
          <w:szCs w:val="28"/>
          <w:lang w:val="es-ES_tradnl" w:eastAsia="es-ES"/>
        </w:rPr>
        <w:t>receptores</w:t>
      </w:r>
      <w:r w:rsidRPr="00610931">
        <w:rPr>
          <w:rFonts w:ascii="Times New Roman" w:eastAsia="Times New Roman" w:hAnsi="Times New Roman" w:cs="Times New Roman"/>
          <w:bCs/>
          <w:sz w:val="24"/>
          <w:szCs w:val="28"/>
          <w:lang w:eastAsia="es-ES"/>
        </w:rPr>
        <w:t>»</w:t>
      </w:r>
      <w:r w:rsidRPr="00610931">
        <w:rPr>
          <w:rFonts w:ascii="Times New Roman" w:eastAsia="Times New Roman" w:hAnsi="Times New Roman" w:cs="Times New Roman"/>
          <w:bCs/>
          <w:sz w:val="24"/>
          <w:szCs w:val="28"/>
          <w:lang w:val="es-ES_tradnl" w:eastAsia="es-ES"/>
        </w:rPr>
        <w:t>, su ámbito territorial, medios de comunicación a través de un sistema informático descentralizado e interoperable y lenguas utilizables para cumplimentar los formularios anexos.</w:t>
      </w:r>
    </w:p>
    <w:p w:rsidR="00610931" w:rsidRPr="00610931" w:rsidRDefault="00610931" w:rsidP="00610931">
      <w:pPr>
        <w:widowControl w:val="0"/>
        <w:numPr>
          <w:ilvl w:val="0"/>
          <w:numId w:val="7"/>
        </w:numPr>
        <w:spacing w:after="0" w:line="240" w:lineRule="auto"/>
        <w:ind w:left="1066" w:hanging="357"/>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val="es-ES_tradnl" w:eastAsia="es-ES"/>
        </w:rPr>
        <w:t xml:space="preserve">La notificación se efectuará de conformidad con el Derecho del Estado miembro requerido o en el modo particular solicitado por el </w:t>
      </w:r>
      <w:r w:rsidRPr="00610931">
        <w:rPr>
          <w:rFonts w:ascii="Times New Roman" w:eastAsia="Times New Roman" w:hAnsi="Times New Roman" w:cs="Times New Roman"/>
          <w:bCs/>
          <w:sz w:val="24"/>
          <w:szCs w:val="28"/>
          <w:lang w:eastAsia="es-ES"/>
        </w:rPr>
        <w:t>«</w:t>
      </w:r>
      <w:r w:rsidRPr="00610931">
        <w:rPr>
          <w:rFonts w:ascii="Times New Roman" w:eastAsia="Times New Roman" w:hAnsi="Times New Roman" w:cs="Times New Roman"/>
          <w:bCs/>
          <w:sz w:val="24"/>
          <w:szCs w:val="28"/>
          <w:lang w:val="es-ES_tradnl" w:eastAsia="es-ES"/>
        </w:rPr>
        <w:t>organismo transmisor</w:t>
      </w:r>
      <w:r w:rsidRPr="00610931">
        <w:rPr>
          <w:rFonts w:ascii="Times New Roman" w:eastAsia="Times New Roman" w:hAnsi="Times New Roman" w:cs="Times New Roman"/>
          <w:bCs/>
          <w:sz w:val="24"/>
          <w:szCs w:val="28"/>
          <w:lang w:eastAsia="es-ES"/>
        </w:rPr>
        <w:t>»</w:t>
      </w:r>
      <w:r w:rsidRPr="00610931">
        <w:rPr>
          <w:rFonts w:ascii="Times New Roman" w:eastAsia="Times New Roman" w:hAnsi="Times New Roman" w:cs="Times New Roman"/>
          <w:bCs/>
          <w:sz w:val="24"/>
          <w:szCs w:val="28"/>
          <w:lang w:val="es-ES_tradnl" w:eastAsia="es-ES"/>
        </w:rPr>
        <w:t xml:space="preserve"> siempre que no sea incompatible con aquél.</w:t>
      </w:r>
    </w:p>
    <w:p w:rsidR="00610931" w:rsidRPr="00610931" w:rsidRDefault="00610931" w:rsidP="00610931">
      <w:pPr>
        <w:widowControl w:val="0"/>
        <w:numPr>
          <w:ilvl w:val="0"/>
          <w:numId w:val="7"/>
        </w:numPr>
        <w:spacing w:after="0" w:line="240" w:lineRule="auto"/>
        <w:ind w:left="1066" w:hanging="357"/>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val="es-ES_tradnl" w:eastAsia="es-ES"/>
        </w:rPr>
        <w:t>Los Estados miembros establecerán una tasa fija única.</w:t>
      </w:r>
    </w:p>
    <w:p w:rsidR="00610931" w:rsidRPr="00610931" w:rsidRDefault="00610931" w:rsidP="00610931">
      <w:pPr>
        <w:widowControl w:val="0"/>
        <w:numPr>
          <w:ilvl w:val="0"/>
          <w:numId w:val="7"/>
        </w:numPr>
        <w:spacing w:after="0" w:line="240" w:lineRule="auto"/>
        <w:ind w:left="1066" w:hanging="357"/>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val="es-ES_tradnl" w:eastAsia="es-ES"/>
        </w:rPr>
        <w:t>Prevé el plazo de 1 mes para la comunicación, así como la remisión de un certificado acreditativo de no haber podido realizarse, pero sin determinar las consecuencias, que quedan a la legislación interna de origen.</w:t>
      </w:r>
    </w:p>
    <w:p w:rsidR="00610931" w:rsidRPr="00610931" w:rsidRDefault="00610931" w:rsidP="00610931">
      <w:pPr>
        <w:widowControl w:val="0"/>
        <w:numPr>
          <w:ilvl w:val="0"/>
          <w:numId w:val="7"/>
        </w:numPr>
        <w:spacing w:after="0" w:line="240" w:lineRule="auto"/>
        <w:ind w:left="1066" w:hanging="357"/>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val="es-ES_tradnl" w:eastAsia="es-ES"/>
        </w:rPr>
        <w:t>Permite también la notificación consular (sin el uso de medidas coercitivas y con posibilidad de reserva por los Estados miembros), postal (mediante carta certificada con acuse de recibo) y electrónica (con arreglo al Derecho del Estado miembro del foro, previo consentimiento expreso y mediante servicios cualificados de entrega electrónica certificada o mediante correo electrónico si el destinatario confirma la recepción y su fecha).</w:t>
      </w:r>
    </w:p>
    <w:p w:rsidR="00610931" w:rsidRPr="00610931" w:rsidRDefault="00610931" w:rsidP="00610931">
      <w:pPr>
        <w:widowControl w:val="0"/>
        <w:numPr>
          <w:ilvl w:val="0"/>
          <w:numId w:val="7"/>
        </w:numPr>
        <w:spacing w:after="0" w:line="240" w:lineRule="auto"/>
        <w:ind w:left="1066" w:hanging="357"/>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eastAsia="es-ES"/>
        </w:rPr>
        <w:t xml:space="preserve">Contempla la notificación mediante requerimiento a </w:t>
      </w:r>
      <w:r w:rsidRPr="00610931">
        <w:rPr>
          <w:rFonts w:ascii="Times New Roman" w:eastAsia="Times New Roman" w:hAnsi="Times New Roman" w:cs="Times New Roman"/>
          <w:bCs/>
          <w:sz w:val="24"/>
          <w:szCs w:val="28"/>
          <w:lang w:val="es-ES_tradnl" w:eastAsia="es-ES"/>
        </w:rPr>
        <w:t>los agentes judiciales, funcionarios u otras personas competentes del Estado miembro requerido, únicamente cuando tal notificación o traslado directos estén permitidos conforme al Derecho interno de ese Estado miembro.</w:t>
      </w:r>
    </w:p>
    <w:p w:rsidR="00610931" w:rsidRPr="00610931" w:rsidRDefault="00610931" w:rsidP="00610931">
      <w:pPr>
        <w:widowControl w:val="0"/>
        <w:numPr>
          <w:ilvl w:val="0"/>
          <w:numId w:val="7"/>
        </w:numPr>
        <w:spacing w:after="120" w:line="240" w:lineRule="auto"/>
        <w:jc w:val="both"/>
        <w:rPr>
          <w:rFonts w:ascii="Times New Roman" w:eastAsia="Times New Roman" w:hAnsi="Times New Roman" w:cs="Times New Roman"/>
          <w:bCs/>
          <w:sz w:val="24"/>
          <w:szCs w:val="28"/>
          <w:lang w:val="es-ES_tradnl" w:eastAsia="es-ES"/>
        </w:rPr>
      </w:pPr>
      <w:r w:rsidRPr="00610931">
        <w:rPr>
          <w:rFonts w:ascii="Times New Roman" w:eastAsia="Times New Roman" w:hAnsi="Times New Roman" w:cs="Times New Roman"/>
          <w:bCs/>
          <w:sz w:val="24"/>
          <w:szCs w:val="28"/>
          <w:lang w:val="es-ES_tradnl" w:eastAsia="es-ES"/>
        </w:rPr>
        <w:t>El Reglamento 2020/1784 prevalece sobre cualesquiera otros convenios, en particular el Convenio de La Haya de 1965, pero no impide su aplicación en lo que sea compatible.</w:t>
      </w:r>
    </w:p>
    <w:p w:rsidR="00610931" w:rsidRPr="00610931" w:rsidRDefault="00610931" w:rsidP="00610931">
      <w:pPr>
        <w:widowControl w:val="0"/>
        <w:spacing w:after="120" w:line="240" w:lineRule="auto"/>
        <w:ind w:left="362"/>
        <w:jc w:val="both"/>
        <w:rPr>
          <w:rFonts w:ascii="Times New Roman" w:eastAsia="Times New Roman" w:hAnsi="Times New Roman" w:cs="Times New Roman"/>
          <w:bCs/>
          <w:sz w:val="24"/>
          <w:szCs w:val="28"/>
          <w:lang w:val="es-ES_tradnl" w:eastAsia="es-ES"/>
        </w:rPr>
      </w:pPr>
    </w:p>
    <w:p w:rsidR="00610931" w:rsidRPr="00610931" w:rsidRDefault="00610931" w:rsidP="00610931">
      <w:pPr>
        <w:widowControl w:val="0"/>
        <w:numPr>
          <w:ilvl w:val="0"/>
          <w:numId w:val="1"/>
        </w:numPr>
        <w:tabs>
          <w:tab w:val="clear" w:pos="360"/>
        </w:tabs>
        <w:spacing w:after="120" w:line="240" w:lineRule="auto"/>
        <w:ind w:left="357" w:hanging="357"/>
        <w:jc w:val="both"/>
        <w:rPr>
          <w:rFonts w:ascii="Times New Roman" w:eastAsia="Times New Roman" w:hAnsi="Times New Roman" w:cs="Times New Roman"/>
          <w:b/>
          <w:bCs/>
          <w:iCs/>
          <w:sz w:val="24"/>
          <w:szCs w:val="28"/>
          <w:lang w:eastAsia="es-ES"/>
        </w:rPr>
      </w:pPr>
      <w:r w:rsidRPr="00610931">
        <w:rPr>
          <w:rFonts w:ascii="Times New Roman" w:eastAsia="Times New Roman" w:hAnsi="Times New Roman" w:cs="Times New Roman"/>
          <w:b/>
          <w:bCs/>
          <w:iCs/>
          <w:sz w:val="24"/>
          <w:szCs w:val="28"/>
          <w:lang w:eastAsia="es-ES"/>
        </w:rPr>
        <w:t xml:space="preserve"> </w:t>
      </w:r>
      <w:bookmarkStart w:id="4" w:name="convenio82"/>
      <w:bookmarkEnd w:id="4"/>
      <w:r w:rsidRPr="00610931">
        <w:rPr>
          <w:rFonts w:ascii="Times New Roman" w:eastAsia="Times New Roman" w:hAnsi="Times New Roman" w:cs="Times New Roman"/>
          <w:b/>
          <w:sz w:val="24"/>
          <w:szCs w:val="28"/>
          <w:lang w:val="es-ES_tradnl" w:eastAsia="es-ES"/>
        </w:rPr>
        <w:t>CONVENIO DE LA HAYA DE 1965</w:t>
      </w:r>
    </w:p>
    <w:p w:rsidR="00610931" w:rsidRPr="00610931" w:rsidRDefault="00610931" w:rsidP="00610931">
      <w:pPr>
        <w:widowControl w:val="0"/>
        <w:numPr>
          <w:ilvl w:val="1"/>
          <w:numId w:val="1"/>
        </w:numPr>
        <w:spacing w:after="60" w:line="240" w:lineRule="auto"/>
        <w:ind w:left="788" w:hanging="431"/>
        <w:jc w:val="both"/>
        <w:rPr>
          <w:rFonts w:ascii="Times New Roman" w:eastAsia="Times New Roman" w:hAnsi="Times New Roman" w:cs="Times New Roman"/>
          <w:b/>
          <w:bCs/>
          <w:iCs/>
          <w:sz w:val="24"/>
          <w:szCs w:val="28"/>
          <w:lang w:eastAsia="es-ES"/>
        </w:rPr>
      </w:pPr>
      <w:bookmarkStart w:id="5" w:name="LaHaya1965"/>
      <w:bookmarkEnd w:id="5"/>
      <w:r w:rsidRPr="00610931">
        <w:rPr>
          <w:rFonts w:ascii="Times New Roman" w:eastAsia="Times New Roman" w:hAnsi="Times New Roman" w:cs="Times New Roman"/>
          <w:b/>
          <w:sz w:val="24"/>
          <w:szCs w:val="28"/>
          <w:lang w:val="es-ES_tradnl" w:eastAsia="es-ES"/>
        </w:rPr>
        <w:t>Convenio de La Haya de 1965</w:t>
      </w:r>
    </w:p>
    <w:p w:rsidR="00610931" w:rsidRPr="00610931" w:rsidRDefault="00610931" w:rsidP="00610931">
      <w:pPr>
        <w:widowControl w:val="0"/>
        <w:spacing w:after="0" w:line="240" w:lineRule="auto"/>
        <w:ind w:left="788"/>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sz w:val="24"/>
          <w:szCs w:val="28"/>
          <w:lang w:val="es-ES_tradnl" w:eastAsia="es-ES"/>
        </w:rPr>
        <w:t xml:space="preserve">Para los Estados no pertenecientes a la Unión Europea pero que lo hubiesen firmado, el </w:t>
      </w:r>
      <w:hyperlink r:id="rId22" w:history="1">
        <w:r w:rsidRPr="00610931">
          <w:rPr>
            <w:rFonts w:ascii="Times New Roman" w:eastAsia="Times New Roman" w:hAnsi="Times New Roman" w:cs="Times New Roman"/>
            <w:bCs/>
            <w:color w:val="0000FF"/>
            <w:sz w:val="24"/>
            <w:szCs w:val="28"/>
            <w:u w:val="single"/>
            <w:lang w:eastAsia="es-ES"/>
          </w:rPr>
          <w:t>Convenio de L</w:t>
        </w:r>
        <w:r w:rsidRPr="00610931">
          <w:rPr>
            <w:rFonts w:ascii="Times New Roman" w:eastAsia="Times New Roman" w:hAnsi="Times New Roman" w:cs="Times New Roman"/>
            <w:bCs/>
            <w:color w:val="0000FF"/>
            <w:sz w:val="24"/>
            <w:szCs w:val="28"/>
            <w:u w:val="single"/>
            <w:lang w:eastAsia="es-ES"/>
          </w:rPr>
          <w:t>a</w:t>
        </w:r>
        <w:r w:rsidRPr="00610931">
          <w:rPr>
            <w:rFonts w:ascii="Times New Roman" w:eastAsia="Times New Roman" w:hAnsi="Times New Roman" w:cs="Times New Roman"/>
            <w:bCs/>
            <w:color w:val="0000FF"/>
            <w:sz w:val="24"/>
            <w:szCs w:val="28"/>
            <w:u w:val="single"/>
            <w:lang w:eastAsia="es-ES"/>
          </w:rPr>
          <w:t xml:space="preserve"> Haya de 1965 sobre Notificación de documentos judiciales y extrajudiciales en materia civil o comercial</w:t>
        </w:r>
      </w:hyperlink>
      <w:r w:rsidRPr="00610931">
        <w:rPr>
          <w:rFonts w:ascii="Times New Roman" w:eastAsia="Times New Roman" w:hAnsi="Times New Roman" w:cs="Times New Roman"/>
          <w:bCs/>
          <w:sz w:val="24"/>
          <w:szCs w:val="28"/>
          <w:lang w:eastAsia="es-ES"/>
        </w:rPr>
        <w:t>.</w:t>
      </w:r>
    </w:p>
    <w:p w:rsidR="00610931" w:rsidRPr="00610931" w:rsidRDefault="00610931" w:rsidP="00610931">
      <w:pPr>
        <w:widowControl w:val="0"/>
        <w:spacing w:after="0" w:line="240" w:lineRule="auto"/>
        <w:ind w:left="788"/>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Destacar del mismo:</w:t>
      </w:r>
    </w:p>
    <w:p w:rsidR="00610931" w:rsidRPr="00610931" w:rsidRDefault="00610931" w:rsidP="00610931">
      <w:pPr>
        <w:widowControl w:val="0"/>
        <w:numPr>
          <w:ilvl w:val="0"/>
          <w:numId w:val="3"/>
        </w:numPr>
        <w:spacing w:after="0" w:line="240" w:lineRule="auto"/>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Entre los firmantes figuran Argentina, Estados Unidos, Reino Unido, Suiza, Turquía o Venezuela.</w:t>
      </w:r>
    </w:p>
    <w:p w:rsidR="00610931" w:rsidRPr="00610931" w:rsidRDefault="00610931" w:rsidP="00610931">
      <w:pPr>
        <w:widowControl w:val="0"/>
        <w:numPr>
          <w:ilvl w:val="0"/>
          <w:numId w:val="3"/>
        </w:numPr>
        <w:spacing w:after="0" w:line="240" w:lineRule="auto"/>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No se aplica cuando la dirección sea desconocida.</w:t>
      </w:r>
    </w:p>
    <w:p w:rsidR="00610931" w:rsidRPr="00610931" w:rsidRDefault="00610931" w:rsidP="00610931">
      <w:pPr>
        <w:widowControl w:val="0"/>
        <w:numPr>
          <w:ilvl w:val="0"/>
          <w:numId w:val="3"/>
        </w:numPr>
        <w:spacing w:after="0" w:line="240" w:lineRule="auto"/>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Permite la remisión al destino a través de la Autoridad central (rellenando el formulario anexo al Convenio) o mediante requerimiento al notario de que se trate.</w:t>
      </w:r>
    </w:p>
    <w:p w:rsidR="00610931" w:rsidRPr="00610931" w:rsidRDefault="00610931" w:rsidP="00610931">
      <w:pPr>
        <w:widowControl w:val="0"/>
        <w:numPr>
          <w:ilvl w:val="0"/>
          <w:numId w:val="3"/>
        </w:numPr>
        <w:spacing w:after="0" w:line="240" w:lineRule="auto"/>
        <w:ind w:left="1145" w:hanging="357"/>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Contempla la posibilidad de reserva a las notificaciones mediante exhorto consular o directamente vía postal.</w:t>
      </w:r>
    </w:p>
    <w:p w:rsidR="00610931" w:rsidRPr="00610931" w:rsidRDefault="00610931" w:rsidP="00610931">
      <w:pPr>
        <w:widowControl w:val="0"/>
        <w:numPr>
          <w:ilvl w:val="0"/>
          <w:numId w:val="3"/>
        </w:numPr>
        <w:spacing w:after="120" w:line="240" w:lineRule="auto"/>
        <w:ind w:left="1145" w:hanging="357"/>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Es compatible con otros convenios.</w:t>
      </w:r>
    </w:p>
    <w:p w:rsidR="00610931" w:rsidRPr="00610931" w:rsidRDefault="00610931" w:rsidP="00610931">
      <w:pPr>
        <w:widowControl w:val="0"/>
        <w:numPr>
          <w:ilvl w:val="1"/>
          <w:numId w:val="1"/>
        </w:numPr>
        <w:spacing w:after="0" w:line="240" w:lineRule="auto"/>
        <w:jc w:val="both"/>
        <w:rPr>
          <w:rFonts w:ascii="Times New Roman" w:eastAsia="Times New Roman" w:hAnsi="Times New Roman" w:cs="Times New Roman"/>
          <w:b/>
          <w:bCs/>
          <w:iCs/>
          <w:sz w:val="24"/>
          <w:szCs w:val="28"/>
          <w:lang w:eastAsia="es-ES"/>
        </w:rPr>
      </w:pPr>
      <w:bookmarkStart w:id="6" w:name="Londres1929"/>
      <w:bookmarkEnd w:id="6"/>
      <w:r w:rsidRPr="00610931">
        <w:rPr>
          <w:rFonts w:ascii="Times New Roman" w:eastAsia="Times New Roman" w:hAnsi="Times New Roman" w:cs="Times New Roman"/>
          <w:b/>
          <w:bCs/>
          <w:sz w:val="24"/>
          <w:szCs w:val="28"/>
          <w:lang w:val="es-ES_tradnl" w:eastAsia="es-ES"/>
        </w:rPr>
        <w:t>Convenio de Londres de 1925</w:t>
      </w:r>
    </w:p>
    <w:p w:rsidR="00610931" w:rsidRPr="00610931" w:rsidRDefault="00610931" w:rsidP="00610931">
      <w:pPr>
        <w:widowControl w:val="0"/>
        <w:spacing w:after="0" w:line="240" w:lineRule="auto"/>
        <w:ind w:left="792"/>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 xml:space="preserve">A diferencia del anterior, el </w:t>
      </w:r>
      <w:hyperlink r:id="rId23" w:anchor=":~:text=Convenio%20relativo%20a%20la%20mutua,27%20de%20junio%20de%201929&amp;text=Pa%C3%ADses%3ACanad%C3%A1%2C%20Chipre%2C%20Dominica,Fiji%2C%20Lesotho%2C%20Reino%20Unido." w:history="1">
        <w:r w:rsidRPr="00610931">
          <w:rPr>
            <w:rFonts w:ascii="Times New Roman" w:eastAsia="Times New Roman" w:hAnsi="Times New Roman" w:cs="Times New Roman"/>
            <w:bCs/>
            <w:color w:val="0000FF"/>
            <w:sz w:val="24"/>
            <w:szCs w:val="28"/>
            <w:u w:val="single"/>
            <w:lang w:eastAsia="es-ES"/>
          </w:rPr>
          <w:t xml:space="preserve">Convenio de Londres de 1925 relativo a la mutua </w:t>
        </w:r>
        <w:r w:rsidRPr="00610931">
          <w:rPr>
            <w:rFonts w:ascii="Times New Roman" w:eastAsia="Times New Roman" w:hAnsi="Times New Roman" w:cs="Times New Roman"/>
            <w:bCs/>
            <w:color w:val="0000FF"/>
            <w:sz w:val="24"/>
            <w:szCs w:val="28"/>
            <w:u w:val="single"/>
            <w:lang w:eastAsia="es-ES"/>
          </w:rPr>
          <w:lastRenderedPageBreak/>
          <w:t>asistencia en los procedimientos civiles y comerciales</w:t>
        </w:r>
      </w:hyperlink>
      <w:r w:rsidRPr="00610931">
        <w:rPr>
          <w:rFonts w:ascii="Times New Roman" w:eastAsia="Times New Roman" w:hAnsi="Times New Roman" w:cs="Times New Roman"/>
          <w:bCs/>
          <w:sz w:val="24"/>
          <w:szCs w:val="28"/>
          <w:lang w:eastAsia="es-ES"/>
        </w:rPr>
        <w:t xml:space="preserve"> es entre “Su Majestad Católica el Rey de España y Su Majestad el Rey de la Gran Bretaña, Irlanda y los Dominios británicos de Ultramar, Emperador de la India”.</w:t>
      </w:r>
    </w:p>
    <w:p w:rsidR="00610931" w:rsidRPr="00610931" w:rsidRDefault="00610931" w:rsidP="00610931">
      <w:pPr>
        <w:widowControl w:val="0"/>
        <w:spacing w:after="0" w:line="240" w:lineRule="auto"/>
        <w:ind w:left="792"/>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Destacar del mismo:</w:t>
      </w:r>
    </w:p>
    <w:p w:rsidR="00610931" w:rsidRPr="00610931" w:rsidRDefault="00610931" w:rsidP="00610931">
      <w:pPr>
        <w:widowControl w:val="0"/>
        <w:numPr>
          <w:ilvl w:val="0"/>
          <w:numId w:val="8"/>
        </w:numPr>
        <w:spacing w:after="0" w:line="240" w:lineRule="auto"/>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 xml:space="preserve">No obstante su bilateralidad, dado su origen se aplica en Canadá, Chipre, Dominica, España, </w:t>
      </w:r>
      <w:proofErr w:type="spellStart"/>
      <w:r w:rsidRPr="00610931">
        <w:rPr>
          <w:rFonts w:ascii="Times New Roman" w:eastAsia="Times New Roman" w:hAnsi="Times New Roman" w:cs="Times New Roman"/>
          <w:bCs/>
          <w:sz w:val="24"/>
          <w:szCs w:val="28"/>
          <w:lang w:eastAsia="es-ES"/>
        </w:rPr>
        <w:t>Fiji</w:t>
      </w:r>
      <w:proofErr w:type="spellEnd"/>
      <w:r w:rsidRPr="00610931">
        <w:rPr>
          <w:rFonts w:ascii="Times New Roman" w:eastAsia="Times New Roman" w:hAnsi="Times New Roman" w:cs="Times New Roman"/>
          <w:bCs/>
          <w:sz w:val="24"/>
          <w:szCs w:val="28"/>
          <w:lang w:eastAsia="es-ES"/>
        </w:rPr>
        <w:t xml:space="preserve">, </w:t>
      </w:r>
      <w:proofErr w:type="spellStart"/>
      <w:r w:rsidRPr="00610931">
        <w:rPr>
          <w:rFonts w:ascii="Times New Roman" w:eastAsia="Times New Roman" w:hAnsi="Times New Roman" w:cs="Times New Roman"/>
          <w:bCs/>
          <w:sz w:val="24"/>
          <w:szCs w:val="28"/>
          <w:lang w:eastAsia="es-ES"/>
        </w:rPr>
        <w:t>Lesotho</w:t>
      </w:r>
      <w:proofErr w:type="spellEnd"/>
      <w:r w:rsidRPr="00610931">
        <w:rPr>
          <w:rFonts w:ascii="Times New Roman" w:eastAsia="Times New Roman" w:hAnsi="Times New Roman" w:cs="Times New Roman"/>
          <w:bCs/>
          <w:sz w:val="24"/>
          <w:szCs w:val="28"/>
          <w:lang w:eastAsia="es-ES"/>
        </w:rPr>
        <w:t xml:space="preserve"> y Reino Unido.</w:t>
      </w:r>
    </w:p>
    <w:p w:rsidR="00610931" w:rsidRPr="00610931" w:rsidRDefault="00610931" w:rsidP="00610931">
      <w:pPr>
        <w:widowControl w:val="0"/>
        <w:numPr>
          <w:ilvl w:val="0"/>
          <w:numId w:val="8"/>
        </w:numPr>
        <w:spacing w:after="120" w:line="240" w:lineRule="auto"/>
        <w:ind w:left="1151" w:hanging="357"/>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Permite la remisión al destino a través del Cónsul y éste a una Autoridad central (art. 3); o directamente a la Autoridad territorial competente (art. 4); o, más interesante, por vía postal (art. 5).</w:t>
      </w:r>
    </w:p>
    <w:p w:rsidR="00610931" w:rsidRPr="00610931" w:rsidRDefault="00610931" w:rsidP="00610931">
      <w:pPr>
        <w:widowControl w:val="0"/>
        <w:spacing w:after="0" w:line="240" w:lineRule="auto"/>
        <w:ind w:left="1152"/>
        <w:jc w:val="both"/>
        <w:rPr>
          <w:rFonts w:ascii="Times New Roman" w:eastAsia="Times New Roman" w:hAnsi="Times New Roman" w:cs="Times New Roman"/>
          <w:bCs/>
          <w:sz w:val="24"/>
          <w:szCs w:val="28"/>
          <w:lang w:eastAsia="es-ES"/>
        </w:rPr>
      </w:pPr>
    </w:p>
    <w:p w:rsidR="00610931" w:rsidRPr="00610931" w:rsidRDefault="00610931" w:rsidP="00610931">
      <w:pPr>
        <w:widowControl w:val="0"/>
        <w:numPr>
          <w:ilvl w:val="0"/>
          <w:numId w:val="1"/>
        </w:numPr>
        <w:tabs>
          <w:tab w:val="left" w:leader="hyphen" w:pos="8500"/>
        </w:tabs>
        <w:spacing w:after="120" w:line="240" w:lineRule="auto"/>
        <w:ind w:left="357" w:hanging="357"/>
        <w:jc w:val="both"/>
        <w:rPr>
          <w:rFonts w:ascii="Times New Roman" w:eastAsia="Times New Roman" w:hAnsi="Times New Roman" w:cs="Times New Roman"/>
          <w:b/>
          <w:bCs/>
          <w:iCs/>
          <w:sz w:val="24"/>
          <w:szCs w:val="28"/>
          <w:lang w:eastAsia="es-ES"/>
        </w:rPr>
      </w:pPr>
      <w:r w:rsidRPr="00610931">
        <w:rPr>
          <w:rFonts w:ascii="Times New Roman" w:eastAsia="Times New Roman" w:hAnsi="Times New Roman" w:cs="Times New Roman"/>
          <w:b/>
          <w:bCs/>
          <w:iCs/>
          <w:sz w:val="24"/>
          <w:szCs w:val="28"/>
          <w:lang w:eastAsia="es-ES"/>
        </w:rPr>
        <w:t xml:space="preserve"> </w:t>
      </w:r>
      <w:bookmarkStart w:id="7" w:name="ley83"/>
      <w:bookmarkEnd w:id="7"/>
      <w:r w:rsidRPr="00610931">
        <w:rPr>
          <w:rFonts w:ascii="Times New Roman" w:eastAsia="Times New Roman" w:hAnsi="Times New Roman" w:cs="Times New Roman"/>
          <w:b/>
          <w:bCs/>
          <w:sz w:val="24"/>
          <w:szCs w:val="28"/>
          <w:lang w:val="es-ES_tradnl" w:eastAsia="es-ES"/>
        </w:rPr>
        <w:t>LEY DE COOPERACIÓN JURÍDICA DE 2015</w:t>
      </w:r>
    </w:p>
    <w:p w:rsidR="00610931" w:rsidRPr="00610931" w:rsidRDefault="00610931" w:rsidP="00610931">
      <w:pPr>
        <w:widowControl w:val="0"/>
        <w:tabs>
          <w:tab w:val="left" w:leader="hyphen" w:pos="8500"/>
        </w:tabs>
        <w:spacing w:after="0" w:line="240" w:lineRule="auto"/>
        <w:ind w:left="357"/>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 xml:space="preserve">Para el resto de Estados y también para los anteriores en lo que no se oponga a los reseñados instrumentos, la </w:t>
      </w:r>
      <w:hyperlink r:id="rId24" w:history="1">
        <w:r w:rsidRPr="00610931">
          <w:rPr>
            <w:rFonts w:ascii="Times New Roman" w:eastAsia="Times New Roman" w:hAnsi="Times New Roman" w:cs="Times New Roman"/>
            <w:bCs/>
            <w:color w:val="0000FF"/>
            <w:sz w:val="24"/>
            <w:szCs w:val="28"/>
            <w:u w:val="single"/>
            <w:lang w:eastAsia="es-ES"/>
          </w:rPr>
          <w:t>Ley 2</w:t>
        </w:r>
        <w:r w:rsidRPr="00610931">
          <w:rPr>
            <w:rFonts w:ascii="Times New Roman" w:eastAsia="Times New Roman" w:hAnsi="Times New Roman" w:cs="Times New Roman"/>
            <w:bCs/>
            <w:color w:val="0000FF"/>
            <w:sz w:val="24"/>
            <w:szCs w:val="28"/>
            <w:u w:val="single"/>
            <w:lang w:eastAsia="es-ES"/>
          </w:rPr>
          <w:t>9</w:t>
        </w:r>
        <w:r w:rsidRPr="00610931">
          <w:rPr>
            <w:rFonts w:ascii="Times New Roman" w:eastAsia="Times New Roman" w:hAnsi="Times New Roman" w:cs="Times New Roman"/>
            <w:bCs/>
            <w:color w:val="0000FF"/>
            <w:sz w:val="24"/>
            <w:szCs w:val="28"/>
            <w:u w:val="single"/>
            <w:lang w:eastAsia="es-ES"/>
          </w:rPr>
          <w:t>/2015 de Cooperación jurídica internacional en materia civil</w:t>
        </w:r>
      </w:hyperlink>
      <w:r w:rsidRPr="00610931">
        <w:rPr>
          <w:rFonts w:ascii="Times New Roman" w:eastAsia="Times New Roman" w:hAnsi="Times New Roman" w:cs="Times New Roman"/>
          <w:bCs/>
          <w:sz w:val="24"/>
          <w:szCs w:val="28"/>
          <w:lang w:eastAsia="es-ES"/>
        </w:rPr>
        <w:t>.</w:t>
      </w:r>
    </w:p>
    <w:p w:rsidR="00610931" w:rsidRPr="00610931" w:rsidRDefault="00610931" w:rsidP="00610931">
      <w:pPr>
        <w:widowControl w:val="0"/>
        <w:tabs>
          <w:tab w:val="left" w:leader="hyphen" w:pos="8500"/>
        </w:tabs>
        <w:spacing w:after="0" w:line="240" w:lineRule="auto"/>
        <w:ind w:left="357"/>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Destacar de la misma:</w:t>
      </w:r>
    </w:p>
    <w:p w:rsidR="00610931" w:rsidRPr="00610931" w:rsidRDefault="00610931" w:rsidP="00610931">
      <w:pPr>
        <w:widowControl w:val="0"/>
        <w:numPr>
          <w:ilvl w:val="0"/>
          <w:numId w:val="4"/>
        </w:numPr>
        <w:spacing w:after="0" w:line="240" w:lineRule="auto"/>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 xml:space="preserve">Para los documentos extrajudiciales el </w:t>
      </w:r>
      <w:hyperlink r:id="rId25" w:anchor="a28" w:history="1">
        <w:r w:rsidRPr="00610931">
          <w:rPr>
            <w:rFonts w:ascii="Times New Roman" w:eastAsia="Times New Roman" w:hAnsi="Times New Roman" w:cs="Times New Roman"/>
            <w:bCs/>
            <w:color w:val="0000FF"/>
            <w:sz w:val="24"/>
            <w:szCs w:val="28"/>
            <w:u w:val="single"/>
            <w:lang w:eastAsia="es-ES"/>
          </w:rPr>
          <w:t>art. 28-1</w:t>
        </w:r>
      </w:hyperlink>
      <w:r w:rsidRPr="00610931">
        <w:rPr>
          <w:rFonts w:ascii="Times New Roman" w:eastAsia="Times New Roman" w:hAnsi="Times New Roman" w:cs="Times New Roman"/>
          <w:bCs/>
          <w:sz w:val="24"/>
          <w:szCs w:val="28"/>
          <w:lang w:eastAsia="es-ES"/>
        </w:rPr>
        <w:t xml:space="preserve"> se remite a los judiciales en lo que fuere aplicable, añadiendo el </w:t>
      </w:r>
      <w:hyperlink r:id="rId26" w:anchor="a28" w:history="1">
        <w:r w:rsidRPr="00610931">
          <w:rPr>
            <w:rFonts w:ascii="Times New Roman" w:eastAsia="Times New Roman" w:hAnsi="Times New Roman" w:cs="Times New Roman"/>
            <w:bCs/>
            <w:color w:val="0000FF"/>
            <w:sz w:val="24"/>
            <w:szCs w:val="28"/>
            <w:u w:val="single"/>
            <w:lang w:eastAsia="es-ES"/>
          </w:rPr>
          <w:t>art. 28-3</w:t>
        </w:r>
      </w:hyperlink>
      <w:r w:rsidRPr="00610931">
        <w:rPr>
          <w:rFonts w:ascii="Times New Roman" w:eastAsia="Times New Roman" w:hAnsi="Times New Roman" w:cs="Times New Roman"/>
          <w:bCs/>
          <w:sz w:val="24"/>
          <w:szCs w:val="28"/>
          <w:lang w:eastAsia="es-ES"/>
        </w:rPr>
        <w:t xml:space="preserve"> que “</w:t>
      </w:r>
      <w:r w:rsidRPr="00610931">
        <w:rPr>
          <w:rFonts w:ascii="Times New Roman" w:eastAsia="Times New Roman" w:hAnsi="Times New Roman" w:cs="Times New Roman"/>
          <w:bCs/>
          <w:i/>
          <w:sz w:val="24"/>
          <w:szCs w:val="28"/>
          <w:lang w:eastAsia="es-ES"/>
        </w:rPr>
        <w:t>... La solicitud contendrá al menos la siguiente información: a) La naturaleza, fecha e identificación del documento. b) El nombre y dirección postal o electrónica del notario, autoridad o funcionario que lo haya autorizado o expedido. c) La pretensión notificada y consecuencias, en su caso, de su incumplimiento y si se indicara, el plazo requerido para ello...</w:t>
      </w:r>
      <w:r w:rsidRPr="00610931">
        <w:rPr>
          <w:rFonts w:ascii="Times New Roman" w:eastAsia="Times New Roman" w:hAnsi="Times New Roman" w:cs="Times New Roman"/>
          <w:bCs/>
          <w:sz w:val="24"/>
          <w:szCs w:val="28"/>
          <w:lang w:eastAsia="es-ES"/>
        </w:rPr>
        <w:t>”.</w:t>
      </w:r>
    </w:p>
    <w:p w:rsidR="00610931" w:rsidRPr="00610931" w:rsidRDefault="00610931" w:rsidP="00610931">
      <w:pPr>
        <w:widowControl w:val="0"/>
        <w:numPr>
          <w:ilvl w:val="0"/>
          <w:numId w:val="4"/>
        </w:numPr>
        <w:spacing w:after="0" w:line="240" w:lineRule="auto"/>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 xml:space="preserve">Los </w:t>
      </w:r>
      <w:hyperlink r:id="rId27" w:anchor="a12" w:history="1">
        <w:r w:rsidRPr="00610931">
          <w:rPr>
            <w:rFonts w:ascii="Times New Roman" w:eastAsia="Times New Roman" w:hAnsi="Times New Roman" w:cs="Times New Roman"/>
            <w:bCs/>
            <w:color w:val="0000FF"/>
            <w:sz w:val="24"/>
            <w:szCs w:val="28"/>
            <w:u w:val="single"/>
            <w:lang w:eastAsia="es-ES"/>
          </w:rPr>
          <w:t>arts. 28-2, 21-1 y 12-1</w:t>
        </w:r>
      </w:hyperlink>
      <w:r w:rsidRPr="00610931">
        <w:rPr>
          <w:rFonts w:ascii="Times New Roman" w:eastAsia="Times New Roman" w:hAnsi="Times New Roman" w:cs="Times New Roman"/>
          <w:bCs/>
          <w:sz w:val="24"/>
          <w:szCs w:val="28"/>
          <w:lang w:eastAsia="es-ES"/>
        </w:rPr>
        <w:t xml:space="preserve"> permiten la remisión al destino a través de la Autoridad central española o directamente al notario extranjero de que se trate si estuviese previsto en la legislación del Estado de destino.</w:t>
      </w:r>
    </w:p>
    <w:p w:rsidR="00610931" w:rsidRPr="00610931" w:rsidRDefault="00610931" w:rsidP="00610931">
      <w:pPr>
        <w:widowControl w:val="0"/>
        <w:numPr>
          <w:ilvl w:val="0"/>
          <w:numId w:val="4"/>
        </w:numPr>
        <w:spacing w:after="0" w:line="240" w:lineRule="auto"/>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 xml:space="preserve">Según el </w:t>
      </w:r>
      <w:hyperlink r:id="rId28" w:anchor="a21" w:history="1">
        <w:r w:rsidRPr="00610931">
          <w:rPr>
            <w:rFonts w:ascii="Times New Roman" w:eastAsia="Times New Roman" w:hAnsi="Times New Roman" w:cs="Times New Roman"/>
            <w:bCs/>
            <w:color w:val="0000FF"/>
            <w:sz w:val="24"/>
            <w:szCs w:val="28"/>
            <w:u w:val="single"/>
            <w:lang w:eastAsia="es-ES"/>
          </w:rPr>
          <w:t>art. 21-2</w:t>
        </w:r>
      </w:hyperlink>
      <w:r w:rsidRPr="00610931">
        <w:rPr>
          <w:rFonts w:ascii="Times New Roman" w:eastAsia="Times New Roman" w:hAnsi="Times New Roman" w:cs="Times New Roman"/>
          <w:bCs/>
          <w:sz w:val="24"/>
          <w:szCs w:val="28"/>
          <w:lang w:eastAsia="es-ES"/>
        </w:rPr>
        <w:t>, "</w:t>
      </w:r>
      <w:r w:rsidRPr="00610931">
        <w:rPr>
          <w:rFonts w:ascii="Times New Roman" w:eastAsia="Times New Roman" w:hAnsi="Times New Roman" w:cs="Times New Roman"/>
          <w:bCs/>
          <w:i/>
          <w:sz w:val="24"/>
          <w:szCs w:val="28"/>
          <w:lang w:eastAsia="es-ES"/>
        </w:rPr>
        <w:t>... Siempre que no se oponga la legislación del Estado de destino, las autoridades españolas podrán practicar las comunicaciones directamente a sus destinatarios por correo postal certificado o medio equivalente con acuse de recibo u otra garantía que permita dejar constancia de su recepción...</w:t>
      </w:r>
      <w:r w:rsidRPr="00610931">
        <w:rPr>
          <w:rFonts w:ascii="Times New Roman" w:eastAsia="Times New Roman" w:hAnsi="Times New Roman" w:cs="Times New Roman"/>
          <w:bCs/>
          <w:sz w:val="24"/>
          <w:szCs w:val="28"/>
          <w:lang w:eastAsia="es-ES"/>
        </w:rPr>
        <w:t>".</w:t>
      </w:r>
    </w:p>
    <w:p w:rsidR="00610931" w:rsidRPr="00610931" w:rsidRDefault="00610931" w:rsidP="00610931">
      <w:pPr>
        <w:widowControl w:val="0"/>
        <w:tabs>
          <w:tab w:val="left" w:leader="hyphen" w:pos="8500"/>
        </w:tabs>
        <w:spacing w:after="0" w:line="240" w:lineRule="auto"/>
        <w:ind w:left="708"/>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¿Significa ello que para el extranjero puede obviarse la tradicional y desfasada interpretación sobre competencia notarial territorial en las actas de notificación por correo? Es posible... pero siempre que el Estado de destino no tenga formulada reserva a la vía postal.</w:t>
      </w:r>
    </w:p>
    <w:p w:rsidR="00610931" w:rsidRPr="00610931" w:rsidRDefault="00610931" w:rsidP="00610931">
      <w:pPr>
        <w:widowControl w:val="0"/>
        <w:numPr>
          <w:ilvl w:val="0"/>
          <w:numId w:val="5"/>
        </w:numPr>
        <w:spacing w:after="0" w:line="240" w:lineRule="auto"/>
        <w:jc w:val="both"/>
        <w:rPr>
          <w:rFonts w:ascii="Times New Roman" w:eastAsia="Times New Roman" w:hAnsi="Times New Roman" w:cs="Times New Roman"/>
          <w:bCs/>
          <w:sz w:val="24"/>
          <w:szCs w:val="28"/>
          <w:lang w:eastAsia="es-ES"/>
        </w:rPr>
      </w:pPr>
      <w:r w:rsidRPr="00610931">
        <w:rPr>
          <w:rFonts w:ascii="Times New Roman" w:eastAsia="Times New Roman" w:hAnsi="Times New Roman" w:cs="Times New Roman"/>
          <w:bCs/>
          <w:sz w:val="24"/>
          <w:szCs w:val="28"/>
          <w:lang w:eastAsia="es-ES"/>
        </w:rPr>
        <w:t xml:space="preserve">Según el </w:t>
      </w:r>
      <w:hyperlink r:id="rId29" w:anchor="a24" w:history="1">
        <w:r w:rsidRPr="00610931">
          <w:rPr>
            <w:rFonts w:ascii="Times New Roman" w:eastAsia="Times New Roman" w:hAnsi="Times New Roman" w:cs="Times New Roman"/>
            <w:bCs/>
            <w:color w:val="0000FF"/>
            <w:sz w:val="24"/>
            <w:szCs w:val="28"/>
            <w:u w:val="single"/>
            <w:lang w:eastAsia="es-ES"/>
          </w:rPr>
          <w:t>art. 24-2</w:t>
        </w:r>
      </w:hyperlink>
      <w:r w:rsidRPr="00610931">
        <w:rPr>
          <w:rFonts w:ascii="Times New Roman" w:eastAsia="Times New Roman" w:hAnsi="Times New Roman" w:cs="Times New Roman"/>
          <w:bCs/>
          <w:sz w:val="24"/>
          <w:szCs w:val="28"/>
          <w:lang w:eastAsia="es-ES"/>
        </w:rPr>
        <w:t>, "</w:t>
      </w:r>
      <w:r w:rsidRPr="00610931">
        <w:rPr>
          <w:rFonts w:ascii="Times New Roman" w:eastAsia="Times New Roman" w:hAnsi="Times New Roman" w:cs="Times New Roman"/>
          <w:bCs/>
          <w:i/>
          <w:sz w:val="24"/>
          <w:szCs w:val="28"/>
          <w:lang w:eastAsia="es-ES"/>
        </w:rPr>
        <w:t>... Transcurridos seis meses desde la fecha de envío del documento, la autoridad competente proveerá a instancia de parte interesada aun cuando no haya podido certificar que la notificación ha tenido lugar...</w:t>
      </w:r>
      <w:r w:rsidRPr="00610931">
        <w:rPr>
          <w:rFonts w:ascii="Times New Roman" w:eastAsia="Times New Roman" w:hAnsi="Times New Roman" w:cs="Times New Roman"/>
          <w:bCs/>
          <w:sz w:val="24"/>
          <w:szCs w:val="28"/>
          <w:lang w:eastAsia="es-ES"/>
        </w:rPr>
        <w:t>".</w:t>
      </w:r>
    </w:p>
    <w:p w:rsidR="005269E2" w:rsidRDefault="00610931" w:rsidP="00610931">
      <w:pPr>
        <w:widowControl w:val="0"/>
        <w:tabs>
          <w:tab w:val="left" w:leader="hyphen" w:pos="8500"/>
        </w:tabs>
        <w:spacing w:after="120" w:line="240" w:lineRule="auto"/>
        <w:ind w:left="708"/>
        <w:jc w:val="both"/>
      </w:pPr>
      <w:r w:rsidRPr="00610931">
        <w:rPr>
          <w:rFonts w:ascii="Times New Roman" w:eastAsia="Times New Roman" w:hAnsi="Times New Roman" w:cs="Times New Roman"/>
          <w:bCs/>
          <w:sz w:val="24"/>
          <w:szCs w:val="28"/>
          <w:lang w:eastAsia="es-ES"/>
        </w:rPr>
        <w:t>¿Quién es la «autoridad competente»? En los artículos precedentes siempre emplea esta expresión para referirse a la de destino, pero es más lógico que en este precepto se refiera a la de origen, quien transcurridos 6 meses desde su intento podrá decidir lo que estime oportuno. Resulta entonces conveniente que por los promotores del expediente de que se trate se contemple esta posibilidad, la notificación edictal subsidiaria y l</w:t>
      </w:r>
      <w:r>
        <w:rPr>
          <w:rFonts w:ascii="Times New Roman" w:eastAsia="Times New Roman" w:hAnsi="Times New Roman" w:cs="Times New Roman"/>
          <w:bCs/>
          <w:sz w:val="24"/>
          <w:szCs w:val="28"/>
          <w:lang w:eastAsia="es-ES"/>
        </w:rPr>
        <w:t>a asunción de las consecuencia.</w:t>
      </w:r>
      <w:bookmarkStart w:id="8" w:name="_GoBack"/>
      <w:bookmarkEnd w:id="8"/>
    </w:p>
    <w:sectPr w:rsidR="005269E2">
      <w:headerReference w:type="defaul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931" w:rsidRDefault="00610931" w:rsidP="00610931">
      <w:pPr>
        <w:spacing w:after="0" w:line="240" w:lineRule="auto"/>
      </w:pPr>
      <w:r>
        <w:separator/>
      </w:r>
    </w:p>
  </w:endnote>
  <w:endnote w:type="continuationSeparator" w:id="0">
    <w:p w:rsidR="00610931" w:rsidRDefault="00610931" w:rsidP="0061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931" w:rsidRDefault="00610931" w:rsidP="00610931">
      <w:pPr>
        <w:spacing w:after="0" w:line="240" w:lineRule="auto"/>
      </w:pPr>
      <w:r>
        <w:separator/>
      </w:r>
    </w:p>
  </w:footnote>
  <w:footnote w:type="continuationSeparator" w:id="0">
    <w:p w:rsidR="00610931" w:rsidRDefault="00610931" w:rsidP="00610931">
      <w:pPr>
        <w:spacing w:after="0" w:line="240" w:lineRule="auto"/>
      </w:pPr>
      <w:r>
        <w:continuationSeparator/>
      </w:r>
    </w:p>
  </w:footnote>
  <w:footnote w:id="1">
    <w:p w:rsidR="00610931" w:rsidRDefault="00610931" w:rsidP="00610931">
      <w:pPr>
        <w:pStyle w:val="Textonotapie"/>
        <w:jc w:val="both"/>
      </w:pPr>
      <w:r>
        <w:rPr>
          <w:rStyle w:val="Refdenotaalpie"/>
        </w:rPr>
        <w:footnoteRef/>
      </w:r>
      <w:r>
        <w:t xml:space="preserve"> </w:t>
      </w:r>
      <w:r w:rsidRPr="005A2602">
        <w:t xml:space="preserve">En el supuesto de la </w:t>
      </w:r>
      <w:hyperlink r:id="rId1" w:history="1">
        <w:r w:rsidRPr="005A2602">
          <w:rPr>
            <w:rStyle w:val="Hipervnculo"/>
            <w:lang w:val="es-ES_tradnl"/>
          </w:rPr>
          <w:t>Resolución DGRN de 27 de febrero de 2012</w:t>
        </w:r>
      </w:hyperlink>
      <w:r w:rsidRPr="005A2602">
        <w:t xml:space="preserve"> la notificación al Reino Unido se realizó por el notario mediante carta certificada, argumentando éste</w:t>
      </w:r>
      <w:r>
        <w:t xml:space="preserve"> en su recurso</w:t>
      </w:r>
      <w:r w:rsidRPr="005A2602">
        <w:t xml:space="preserve"> que Correos de España no tramita</w:t>
      </w:r>
      <w:r>
        <w:t>ba entonces</w:t>
      </w:r>
      <w:r w:rsidRPr="005A2602">
        <w:t xml:space="preserve"> acuses de recibo al Reino Unido.</w:t>
      </w:r>
      <w:r>
        <w:t xml:space="preserve"> Parece ser que tampoco ahora, según consulta efectuada el 23 de marzo de 2021.</w:t>
      </w:r>
    </w:p>
    <w:p w:rsidR="00610931" w:rsidRPr="005A2602" w:rsidRDefault="00610931" w:rsidP="00610931">
      <w:pPr>
        <w:pStyle w:val="Textonotapie"/>
        <w:rPr>
          <w:lang w:val="es-ES_tradnl"/>
        </w:rPr>
      </w:pPr>
    </w:p>
  </w:footnote>
  <w:footnote w:id="2">
    <w:p w:rsidR="00610931" w:rsidRPr="00041288" w:rsidRDefault="00610931" w:rsidP="00610931">
      <w:pPr>
        <w:pStyle w:val="Textonotapie"/>
        <w:jc w:val="both"/>
      </w:pPr>
      <w:r w:rsidRPr="00041288">
        <w:rPr>
          <w:rStyle w:val="Refdenotaalpie"/>
        </w:rPr>
        <w:footnoteRef/>
      </w:r>
      <w:r w:rsidRPr="00041288">
        <w:t xml:space="preserve"> FERNÁNDEZ-TRESGUERRES, Ana. </w:t>
      </w:r>
      <w:hyperlink r:id="rId2" w:history="1">
        <w:r w:rsidRPr="00041288">
          <w:rPr>
            <w:rStyle w:val="Hipervnculo"/>
            <w:i/>
          </w:rPr>
          <w:t>Aspectos extrajudiciales en la Ley 29/2015, de 30 de julio, de la cooperación judicial internacional en materia civil</w:t>
        </w:r>
      </w:hyperlink>
      <w:r w:rsidRPr="00041288">
        <w:t>, El Notario del siglo XXI, número 67, mayo-junio 2016.</w:t>
      </w:r>
    </w:p>
    <w:p w:rsidR="00610931" w:rsidRPr="00041288" w:rsidRDefault="00610931" w:rsidP="00610931">
      <w:pPr>
        <w:pStyle w:val="Textonotapie"/>
        <w:jc w:val="both"/>
        <w:rPr>
          <w:lang w:val="es-ES_tradnl"/>
        </w:rPr>
      </w:pPr>
    </w:p>
  </w:footnote>
  <w:footnote w:id="3">
    <w:p w:rsidR="00610931" w:rsidRPr="00041288" w:rsidRDefault="00610931" w:rsidP="00610931">
      <w:pPr>
        <w:pStyle w:val="Textonotapie"/>
        <w:jc w:val="both"/>
        <w:rPr>
          <w:bCs/>
        </w:rPr>
      </w:pPr>
      <w:r w:rsidRPr="00041288">
        <w:rPr>
          <w:rStyle w:val="Refdenotaalpie"/>
        </w:rPr>
        <w:footnoteRef/>
      </w:r>
      <w:r w:rsidRPr="00041288">
        <w:t xml:space="preserve"> ESPIÑEIRA SOTO, Inmaculada. </w:t>
      </w:r>
      <w:hyperlink r:id="rId3" w:history="1">
        <w:r w:rsidRPr="00041288">
          <w:rPr>
            <w:rStyle w:val="Hipervnculo"/>
            <w:bCs/>
            <w:i/>
          </w:rPr>
          <w:t>Sobre la función notarial y la labor del farero</w:t>
        </w:r>
        <w:r>
          <w:rPr>
            <w:rStyle w:val="Hipervnculo"/>
            <w:bCs/>
            <w:i/>
          </w:rPr>
          <w:t>.</w:t>
        </w:r>
        <w:r w:rsidRPr="00041288">
          <w:rPr>
            <w:rStyle w:val="Hipervnculo"/>
            <w:bCs/>
            <w:i/>
          </w:rPr>
          <w:t xml:space="preserve">  La protección del tráfico jurídico internacional por el notario</w:t>
        </w:r>
      </w:hyperlink>
      <w:r w:rsidRPr="00041288">
        <w:rPr>
          <w:bCs/>
        </w:rPr>
        <w:t xml:space="preserve">, </w:t>
      </w:r>
      <w:hyperlink r:id="rId4" w:history="1">
        <w:r w:rsidRPr="00041288">
          <w:rPr>
            <w:rStyle w:val="Hipervnculo"/>
            <w:bCs/>
          </w:rPr>
          <w:t>www.notariosyregistradores.com</w:t>
        </w:r>
      </w:hyperlink>
      <w:r w:rsidRPr="00041288">
        <w:rPr>
          <w:bCs/>
        </w:rPr>
        <w:t>, noviembre 2010.</w:t>
      </w:r>
    </w:p>
    <w:p w:rsidR="00610931" w:rsidRPr="00041288" w:rsidRDefault="00610931" w:rsidP="00610931">
      <w:pPr>
        <w:pStyle w:val="Textonotapie"/>
        <w:jc w:val="both"/>
        <w:rPr>
          <w:bCs/>
          <w:i/>
          <w:color w:val="0000FF"/>
          <w:u w:val="single"/>
        </w:rPr>
      </w:pPr>
    </w:p>
  </w:footnote>
  <w:footnote w:id="4">
    <w:p w:rsidR="00610931" w:rsidRPr="00807409" w:rsidRDefault="00610931" w:rsidP="00610931">
      <w:pPr>
        <w:pStyle w:val="Textonotapie"/>
        <w:jc w:val="both"/>
        <w:rPr>
          <w:lang w:val="es-ES_tradnl"/>
        </w:rPr>
      </w:pPr>
      <w:r>
        <w:rPr>
          <w:rStyle w:val="Refdenotaalpie"/>
        </w:rPr>
        <w:footnoteRef/>
      </w:r>
      <w:r>
        <w:t xml:space="preserve"> </w:t>
      </w:r>
      <w:r w:rsidRPr="00807409">
        <w:t xml:space="preserve">FERNÁNDEZ-TRESGUERRES, Ana. </w:t>
      </w:r>
      <w:r w:rsidRPr="00024DE5">
        <w:rPr>
          <w:i/>
        </w:rPr>
        <w:t>Las notificaciones internacionales tras el R. (UE) 2020/1784</w:t>
      </w:r>
      <w:r>
        <w:t>, El Economista, 19 de marzo de 2021</w:t>
      </w:r>
      <w:r w:rsidRPr="00807409">
        <w:t>.</w:t>
      </w:r>
    </w:p>
  </w:footnote>
  <w:footnote w:id="5">
    <w:p w:rsidR="00610931" w:rsidRPr="00041288" w:rsidRDefault="00610931" w:rsidP="00610931">
      <w:pPr>
        <w:pStyle w:val="Textonotapie"/>
        <w:jc w:val="both"/>
      </w:pPr>
      <w:r w:rsidRPr="00041288">
        <w:rPr>
          <w:rStyle w:val="Refdenotaalpie"/>
        </w:rPr>
        <w:footnoteRef/>
      </w:r>
      <w:r w:rsidRPr="00041288">
        <w:t xml:space="preserve"> GARCIMARTÍN ALFÉREZ, Francisco. </w:t>
      </w:r>
      <w:hyperlink r:id="rId5" w:history="1">
        <w:r w:rsidRPr="00041288">
          <w:rPr>
            <w:rStyle w:val="Hipervnculo"/>
            <w:i/>
          </w:rPr>
          <w:t>Lección: la notificación internacional</w:t>
        </w:r>
      </w:hyperlink>
      <w:r w:rsidRPr="00041288">
        <w:t xml:space="preserve">, </w:t>
      </w:r>
      <w:hyperlink r:id="rId6" w:history="1">
        <w:r w:rsidRPr="00041288">
          <w:rPr>
            <w:rStyle w:val="Hipervnculo"/>
          </w:rPr>
          <w:t>almacendederecho.org</w:t>
        </w:r>
      </w:hyperlink>
      <w:r w:rsidRPr="00041288">
        <w:t>, febrero 2018.</w:t>
      </w:r>
    </w:p>
    <w:p w:rsidR="00610931" w:rsidRPr="005821EC" w:rsidRDefault="00610931" w:rsidP="00610931">
      <w:pPr>
        <w:pStyle w:val="Textonotapie"/>
        <w:spacing w:line="280" w:lineRule="exact"/>
        <w:jc w:val="both"/>
        <w:rPr>
          <w:sz w:val="24"/>
          <w:szCs w:val="24"/>
        </w:rPr>
      </w:pPr>
    </w:p>
    <w:p w:rsidR="00610931" w:rsidRPr="005821EC" w:rsidRDefault="00610931" w:rsidP="00610931">
      <w:pPr>
        <w:spacing w:line="280" w:lineRule="exact"/>
        <w:jc w:val="right"/>
        <w:rPr>
          <w:b/>
          <w:i/>
        </w:rPr>
      </w:pPr>
    </w:p>
    <w:p w:rsidR="00610931" w:rsidRPr="005821EC" w:rsidRDefault="00610931" w:rsidP="00610931">
      <w:pPr>
        <w:pStyle w:val="Textonotapie"/>
        <w:spacing w:line="280" w:lineRule="exact"/>
        <w:jc w:val="both"/>
        <w:rPr>
          <w:sz w:val="24"/>
          <w:szCs w:val="24"/>
          <w:lang w:val="es-ES_tradn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931" w:rsidRPr="004B505C" w:rsidRDefault="00610931" w:rsidP="00FD1362">
    <w:pPr>
      <w:pStyle w:val="Encabezado"/>
      <w:jc w:val="right"/>
      <w:rPr>
        <w:sz w:val="20"/>
        <w:szCs w:val="20"/>
        <w:lang w:val="es-ES_tradnl"/>
      </w:rPr>
    </w:pPr>
    <w:r w:rsidRPr="004B505C">
      <w:rPr>
        <w:sz w:val="20"/>
        <w:szCs w:val="20"/>
        <w:lang w:val="es-ES_tradnl"/>
      </w:rPr>
      <w:t>P</w:t>
    </w:r>
    <w:r>
      <w:rPr>
        <w:sz w:val="20"/>
        <w:szCs w:val="20"/>
        <w:lang w:val="es-ES_tradnl"/>
      </w:rPr>
      <w:t>ARTE SEGUNDA</w:t>
    </w:r>
    <w:r w:rsidRPr="004B505C">
      <w:rPr>
        <w:sz w:val="20"/>
        <w:szCs w:val="20"/>
        <w:lang w:val="es-ES_tradnl"/>
      </w:rPr>
      <w:t xml:space="preserve">. </w:t>
    </w:r>
    <w:r>
      <w:rPr>
        <w:sz w:val="20"/>
        <w:szCs w:val="20"/>
        <w:lang w:val="es-ES_tradnl"/>
      </w:rPr>
      <w:t>DERECHO Y DOCUMENTOS EXTRANJEROS</w:t>
    </w:r>
  </w:p>
  <w:p w:rsidR="00610931" w:rsidRPr="004B505C" w:rsidRDefault="00610931" w:rsidP="00FD1362">
    <w:pPr>
      <w:pStyle w:val="Encabezado"/>
      <w:jc w:val="right"/>
      <w:rPr>
        <w:lang w:val="es-ES_tradnl"/>
      </w:rPr>
    </w:pPr>
    <w:r>
      <w:rPr>
        <w:lang w:val="es-ES_tradnl"/>
      </w:rPr>
      <w:t>CAPÍTULO XII: NOTIFICACIONES EN EL EXTRANJERO</w:t>
    </w:r>
  </w:p>
  <w:p w:rsidR="00610931" w:rsidRPr="004B505C" w:rsidRDefault="00610931" w:rsidP="004B505C">
    <w:pPr>
      <w:pStyle w:val="Encabezado"/>
      <w:jc w:val="right"/>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D3B"/>
    <w:multiLevelType w:val="hybridMultilevel"/>
    <w:tmpl w:val="E7648D2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CF074BE"/>
    <w:multiLevelType w:val="hybridMultilevel"/>
    <w:tmpl w:val="E6AAC724"/>
    <w:lvl w:ilvl="0" w:tplc="0C0A0003">
      <w:start w:val="1"/>
      <w:numFmt w:val="bullet"/>
      <w:lvlText w:val="o"/>
      <w:lvlJc w:val="left"/>
      <w:pPr>
        <w:ind w:left="717" w:hanging="360"/>
      </w:pPr>
      <w:rPr>
        <w:rFonts w:ascii="Courier New" w:hAnsi="Courier New" w:cs="Courier New"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 w15:restartNumberingAfterBreak="0">
    <w:nsid w:val="0FAF5CC4"/>
    <w:multiLevelType w:val="hybridMultilevel"/>
    <w:tmpl w:val="446AF902"/>
    <w:lvl w:ilvl="0" w:tplc="0C0A0003">
      <w:start w:val="1"/>
      <w:numFmt w:val="bullet"/>
      <w:lvlText w:val="o"/>
      <w:lvlJc w:val="left"/>
      <w:pPr>
        <w:ind w:left="1152" w:hanging="360"/>
      </w:pPr>
      <w:rPr>
        <w:rFonts w:ascii="Courier New" w:hAnsi="Courier New" w:cs="Courier New"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3" w15:restartNumberingAfterBreak="0">
    <w:nsid w:val="35F24FEB"/>
    <w:multiLevelType w:val="hybridMultilevel"/>
    <w:tmpl w:val="7E4EFE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275CE2"/>
    <w:multiLevelType w:val="hybridMultilevel"/>
    <w:tmpl w:val="1BACEE68"/>
    <w:lvl w:ilvl="0" w:tplc="0C0A0003">
      <w:start w:val="1"/>
      <w:numFmt w:val="bullet"/>
      <w:lvlText w:val="o"/>
      <w:lvlJc w:val="left"/>
      <w:pPr>
        <w:ind w:left="1148" w:hanging="360"/>
      </w:pPr>
      <w:rPr>
        <w:rFonts w:ascii="Courier New" w:hAnsi="Courier New" w:cs="Courier New" w:hint="default"/>
      </w:rPr>
    </w:lvl>
    <w:lvl w:ilvl="1" w:tplc="0C0A0003" w:tentative="1">
      <w:start w:val="1"/>
      <w:numFmt w:val="bullet"/>
      <w:lvlText w:val="o"/>
      <w:lvlJc w:val="left"/>
      <w:pPr>
        <w:ind w:left="1868" w:hanging="360"/>
      </w:pPr>
      <w:rPr>
        <w:rFonts w:ascii="Courier New" w:hAnsi="Courier New" w:cs="Courier New" w:hint="default"/>
      </w:rPr>
    </w:lvl>
    <w:lvl w:ilvl="2" w:tplc="0C0A0005" w:tentative="1">
      <w:start w:val="1"/>
      <w:numFmt w:val="bullet"/>
      <w:lvlText w:val=""/>
      <w:lvlJc w:val="left"/>
      <w:pPr>
        <w:ind w:left="2588" w:hanging="360"/>
      </w:pPr>
      <w:rPr>
        <w:rFonts w:ascii="Wingdings" w:hAnsi="Wingdings" w:hint="default"/>
      </w:rPr>
    </w:lvl>
    <w:lvl w:ilvl="3" w:tplc="0C0A0001" w:tentative="1">
      <w:start w:val="1"/>
      <w:numFmt w:val="bullet"/>
      <w:lvlText w:val=""/>
      <w:lvlJc w:val="left"/>
      <w:pPr>
        <w:ind w:left="3308" w:hanging="360"/>
      </w:pPr>
      <w:rPr>
        <w:rFonts w:ascii="Symbol" w:hAnsi="Symbol" w:hint="default"/>
      </w:rPr>
    </w:lvl>
    <w:lvl w:ilvl="4" w:tplc="0C0A0003" w:tentative="1">
      <w:start w:val="1"/>
      <w:numFmt w:val="bullet"/>
      <w:lvlText w:val="o"/>
      <w:lvlJc w:val="left"/>
      <w:pPr>
        <w:ind w:left="4028" w:hanging="360"/>
      </w:pPr>
      <w:rPr>
        <w:rFonts w:ascii="Courier New" w:hAnsi="Courier New" w:cs="Courier New" w:hint="default"/>
      </w:rPr>
    </w:lvl>
    <w:lvl w:ilvl="5" w:tplc="0C0A0005" w:tentative="1">
      <w:start w:val="1"/>
      <w:numFmt w:val="bullet"/>
      <w:lvlText w:val=""/>
      <w:lvlJc w:val="left"/>
      <w:pPr>
        <w:ind w:left="4748" w:hanging="360"/>
      </w:pPr>
      <w:rPr>
        <w:rFonts w:ascii="Wingdings" w:hAnsi="Wingdings" w:hint="default"/>
      </w:rPr>
    </w:lvl>
    <w:lvl w:ilvl="6" w:tplc="0C0A0001" w:tentative="1">
      <w:start w:val="1"/>
      <w:numFmt w:val="bullet"/>
      <w:lvlText w:val=""/>
      <w:lvlJc w:val="left"/>
      <w:pPr>
        <w:ind w:left="5468" w:hanging="360"/>
      </w:pPr>
      <w:rPr>
        <w:rFonts w:ascii="Symbol" w:hAnsi="Symbol" w:hint="default"/>
      </w:rPr>
    </w:lvl>
    <w:lvl w:ilvl="7" w:tplc="0C0A0003" w:tentative="1">
      <w:start w:val="1"/>
      <w:numFmt w:val="bullet"/>
      <w:lvlText w:val="o"/>
      <w:lvlJc w:val="left"/>
      <w:pPr>
        <w:ind w:left="6188" w:hanging="360"/>
      </w:pPr>
      <w:rPr>
        <w:rFonts w:ascii="Courier New" w:hAnsi="Courier New" w:cs="Courier New" w:hint="default"/>
      </w:rPr>
    </w:lvl>
    <w:lvl w:ilvl="8" w:tplc="0C0A0005" w:tentative="1">
      <w:start w:val="1"/>
      <w:numFmt w:val="bullet"/>
      <w:lvlText w:val=""/>
      <w:lvlJc w:val="left"/>
      <w:pPr>
        <w:ind w:left="6908" w:hanging="360"/>
      </w:pPr>
      <w:rPr>
        <w:rFonts w:ascii="Wingdings" w:hAnsi="Wingdings" w:hint="default"/>
      </w:rPr>
    </w:lvl>
  </w:abstractNum>
  <w:abstractNum w:abstractNumId="5" w15:restartNumberingAfterBreak="0">
    <w:nsid w:val="676730AF"/>
    <w:multiLevelType w:val="hybridMultilevel"/>
    <w:tmpl w:val="C11C0B02"/>
    <w:lvl w:ilvl="0" w:tplc="0C0A0003">
      <w:start w:val="1"/>
      <w:numFmt w:val="bullet"/>
      <w:lvlText w:val="o"/>
      <w:lvlJc w:val="left"/>
      <w:pPr>
        <w:ind w:left="717" w:hanging="360"/>
      </w:pPr>
      <w:rPr>
        <w:rFonts w:ascii="Courier New" w:hAnsi="Courier New" w:cs="Courier New"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6" w15:restartNumberingAfterBreak="0">
    <w:nsid w:val="6CE42A61"/>
    <w:multiLevelType w:val="multilevel"/>
    <w:tmpl w:val="AB1CC13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2F50148"/>
    <w:multiLevelType w:val="hybridMultilevel"/>
    <w:tmpl w:val="A4B430A8"/>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31"/>
    <w:rsid w:val="005269E2"/>
    <w:rsid w:val="006109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D44A"/>
  <w15:chartTrackingRefBased/>
  <w15:docId w15:val="{79ACC124-D78C-4188-9CD2-E3830064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0931"/>
    <w:rPr>
      <w:color w:val="0000FF"/>
      <w:u w:val="single"/>
    </w:rPr>
  </w:style>
  <w:style w:type="paragraph" w:styleId="Textonotapie">
    <w:name w:val="footnote text"/>
    <w:basedOn w:val="Normal"/>
    <w:link w:val="TextonotapieCar"/>
    <w:semiHidden/>
    <w:rsid w:val="00610931"/>
    <w:pPr>
      <w:spacing w:after="0" w:line="240" w:lineRule="auto"/>
    </w:pPr>
    <w:rPr>
      <w:rFonts w:ascii="Times New Roman" w:eastAsia="SimSun" w:hAnsi="Times New Roman" w:cs="Times New Roman"/>
      <w:sz w:val="20"/>
      <w:szCs w:val="20"/>
      <w:lang w:eastAsia="zh-CN"/>
    </w:rPr>
  </w:style>
  <w:style w:type="character" w:customStyle="1" w:styleId="TextonotapieCar">
    <w:name w:val="Texto nota pie Car"/>
    <w:basedOn w:val="Fuentedeprrafopredeter"/>
    <w:link w:val="Textonotapie"/>
    <w:semiHidden/>
    <w:rsid w:val="00610931"/>
    <w:rPr>
      <w:rFonts w:ascii="Times New Roman" w:eastAsia="SimSun" w:hAnsi="Times New Roman" w:cs="Times New Roman"/>
      <w:sz w:val="20"/>
      <w:szCs w:val="20"/>
      <w:lang w:eastAsia="zh-CN"/>
    </w:rPr>
  </w:style>
  <w:style w:type="character" w:styleId="Refdenotaalpie">
    <w:name w:val="footnote reference"/>
    <w:semiHidden/>
    <w:rsid w:val="00610931"/>
    <w:rPr>
      <w:vertAlign w:val="superscript"/>
    </w:rPr>
  </w:style>
  <w:style w:type="paragraph" w:styleId="Encabezado">
    <w:name w:val="header"/>
    <w:basedOn w:val="Normal"/>
    <w:link w:val="EncabezadoCar"/>
    <w:rsid w:val="00610931"/>
    <w:pPr>
      <w:tabs>
        <w:tab w:val="center" w:pos="4252"/>
        <w:tab w:val="right" w:pos="8504"/>
      </w:tabs>
      <w:spacing w:after="0" w:line="240" w:lineRule="auto"/>
    </w:pPr>
    <w:rPr>
      <w:rFonts w:ascii="Times New Roman" w:eastAsia="SimSun" w:hAnsi="Times New Roman" w:cs="Times New Roman"/>
      <w:sz w:val="24"/>
      <w:szCs w:val="24"/>
      <w:lang w:eastAsia="zh-CN"/>
    </w:rPr>
  </w:style>
  <w:style w:type="character" w:customStyle="1" w:styleId="EncabezadoCar">
    <w:name w:val="Encabezado Car"/>
    <w:basedOn w:val="Fuentedeprrafopredeter"/>
    <w:link w:val="Encabezado"/>
    <w:rsid w:val="00610931"/>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elnotario.es/index.php/hemeroteca/revista-67/6649-aspectos-extrajudiciales-en-la-ley-29-2015-de-30-de-julio-de-la-cooperacion-judicial-internacional-en-materia-civil" TargetMode="External"/><Relationship Id="rId13" Type="http://schemas.openxmlformats.org/officeDocument/2006/relationships/hyperlink" Target="https://www.boe.es/buscar/act.php?id=BOE-A-2015-7391&amp;p=20170629&amp;tn=2" TargetMode="External"/><Relationship Id="rId18" Type="http://schemas.openxmlformats.org/officeDocument/2006/relationships/hyperlink" Target="https://eur-lex.europa.eu/legal-content/ES/ALL/?uri=CELEX%3A32000R1348" TargetMode="External"/><Relationship Id="rId26" Type="http://schemas.openxmlformats.org/officeDocument/2006/relationships/hyperlink" Target="http://noticias.juridicas.com/base_datos/Privado/557449-l-29-2015-de-30-jul-cooperacion-juridica-internacional-en-materia-civil.html" TargetMode="External"/><Relationship Id="rId3" Type="http://schemas.openxmlformats.org/officeDocument/2006/relationships/settings" Target="settings.xml"/><Relationship Id="rId21" Type="http://schemas.openxmlformats.org/officeDocument/2006/relationships/hyperlink" Target="https://eur-lex.europa.eu/legal-content/ES/TXT/?uri=CELEX:32020R1784" TargetMode="External"/><Relationship Id="rId7" Type="http://schemas.openxmlformats.org/officeDocument/2006/relationships/hyperlink" Target="https://www.boe.es/diario_boe/txt.php?id=BOE-A-2012-4359" TargetMode="External"/><Relationship Id="rId12" Type="http://schemas.openxmlformats.org/officeDocument/2006/relationships/hyperlink" Target="https://www.notariosyregistradores.com/LEYESEXTRANJERAS/ARTICULOS/2010-protecci&#243;ndeltr&#225;ficojur&#237;dicointernacionalporelnotario.htm" TargetMode="External"/><Relationship Id="rId17" Type="http://schemas.openxmlformats.org/officeDocument/2006/relationships/hyperlink" Target="https://hj.tribunalconstitucional.es/HJ/es/Resolucion/Show/5474" TargetMode="External"/><Relationship Id="rId25" Type="http://schemas.openxmlformats.org/officeDocument/2006/relationships/hyperlink" Target="http://noticias.juridicas.com/base_datos/Privado/557449-l-29-2015-de-30-jul-cooperacion-juridica-internacional-en-materia-civil.html" TargetMode="External"/><Relationship Id="rId2" Type="http://schemas.openxmlformats.org/officeDocument/2006/relationships/styles" Target="styles.xml"/><Relationship Id="rId16" Type="http://schemas.openxmlformats.org/officeDocument/2006/relationships/hyperlink" Target="https://hj.tribunalconstitucional.es/HJ/es/Resolucion/Show/4252" TargetMode="External"/><Relationship Id="rId20" Type="http://schemas.openxmlformats.org/officeDocument/2006/relationships/hyperlink" Target="https://almacendederecho.org/leccion-la-notificacion-internacional/" TargetMode="External"/><Relationship Id="rId29" Type="http://schemas.openxmlformats.org/officeDocument/2006/relationships/hyperlink" Target="http://noticias.juridicas.com/base_datos/Privado/557449-l-29-2015-de-30-jul-cooperacion-juridica-internacional-en-materia-civi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ntuario.org/prontuario/es/Civil/Consulta/Convenio-relativo-a-la-mutua-asistencia-en-los-procedimientos-civiles-y-comerciales-entre-Espana-y-Gran-Bretana--firmado-en-Londres-el-27-de-junio-de-1929" TargetMode="External"/><Relationship Id="rId24" Type="http://schemas.openxmlformats.org/officeDocument/2006/relationships/hyperlink" Target="http://noticias.juridicas.com/base_datos/Privado/557449-l-29-2015-de-30-jul-cooperacion-juridica-internacional-en-materia-civil.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justice.europa.eu/content_serving_documents-373-es.do" TargetMode="External"/><Relationship Id="rId23" Type="http://schemas.openxmlformats.org/officeDocument/2006/relationships/hyperlink" Target="http://www.prontuario.org/prontuario/es/Civil/Consulta/Convenio-relativo-a-la-mutua-asistencia-en-los-procedimientos-civiles-y-comerciales-entre-Espana-y-Gran-Bretana--firmado-en-Londres-el-27-de-junio-de-1929" TargetMode="External"/><Relationship Id="rId28" Type="http://schemas.openxmlformats.org/officeDocument/2006/relationships/hyperlink" Target="http://noticias.juridicas.com/base_datos/Privado/557449-l-29-2015-de-30-jul-cooperacion-juridica-internacional-en-materia-civil.html" TargetMode="External"/><Relationship Id="rId10" Type="http://schemas.openxmlformats.org/officeDocument/2006/relationships/hyperlink" Target="https://www.boe.es/diario_boe/txt.php?id=BOE-A-1994-2077" TargetMode="External"/><Relationship Id="rId19" Type="http://schemas.openxmlformats.org/officeDocument/2006/relationships/hyperlink" Target="https://eur-lex.europa.eu/legal-content/ES/ALL/?uri=CELEX:32007R139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diario_boe/txt.php?id=BOE-A-1991-17793" TargetMode="External"/><Relationship Id="rId14" Type="http://schemas.openxmlformats.org/officeDocument/2006/relationships/hyperlink" Target="https://noticias.juridicas.com/base_datos/Privado/rd1784-1996.t2.html" TargetMode="External"/><Relationship Id="rId22" Type="http://schemas.openxmlformats.org/officeDocument/2006/relationships/hyperlink" Target="https://www.hcch.net/es/instruments/conventions/specialised-sections/service" TargetMode="External"/><Relationship Id="rId27" Type="http://schemas.openxmlformats.org/officeDocument/2006/relationships/hyperlink" Target="http://noticias.juridicas.com/base_datos/Privado/557449-l-29-2015-de-30-jul-cooperacion-juridica-internacional-en-materia-civil.html"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otariosyregistradores.com/LEYESEXTRANJERAS/ARTICULOS/2010-protecci&#243;ndeltr&#225;ficojur&#237;dicointernacionalporelnotario.htm" TargetMode="External"/><Relationship Id="rId2" Type="http://schemas.openxmlformats.org/officeDocument/2006/relationships/hyperlink" Target="http://www.elnotario.es/index.php/hemeroteca/revista-67/6649-aspectos-extrajudiciales-en-la-ley-29-2015-de-30-de-julio-de-la-cooperacion-judicial-internacional-en-materia-civil" TargetMode="External"/><Relationship Id="rId1" Type="http://schemas.openxmlformats.org/officeDocument/2006/relationships/hyperlink" Target="https://www.boe.es/diario_boe/txt.php?id=BOE-A-2012-4359" TargetMode="External"/><Relationship Id="rId6" Type="http://schemas.openxmlformats.org/officeDocument/2006/relationships/hyperlink" Target="https://almacendederecho.org/leccion-la-notificacion-internacional/" TargetMode="External"/><Relationship Id="rId5" Type="http://schemas.openxmlformats.org/officeDocument/2006/relationships/hyperlink" Target="https://almacendederecho.org/leccion-la-notificacion-internacional/" TargetMode="External"/><Relationship Id="rId4" Type="http://schemas.openxmlformats.org/officeDocument/2006/relationships/hyperlink" Target="http://www.notariosyregistrador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notario\Documents\Notin\Plantillas\NoNotari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NoNotarial.dotm</Template>
  <TotalTime>4</TotalTime>
  <Pages>4</Pages>
  <Words>2211</Words>
  <Characters>11919</Characters>
  <Application>Microsoft Office Word</Application>
  <DocSecurity>0</DocSecurity>
  <Lines>233</Lines>
  <Paragraphs>84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notario</dc:creator>
  <cp:keywords/>
  <dc:description/>
  <cp:lastModifiedBy>notario</cp:lastModifiedBy>
  <cp:revision>1</cp:revision>
  <dcterms:created xsi:type="dcterms:W3CDTF">2022-05-12T10:40:00Z</dcterms:created>
  <dcterms:modified xsi:type="dcterms:W3CDTF">2022-05-12T10:44:00Z</dcterms:modified>
</cp:coreProperties>
</file>